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E5" w:rsidRDefault="009101B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 «ЗАПОРІЗЬКА ПОЛІТЕХНІКА»</w:t>
      </w:r>
    </w:p>
    <w:p w:rsidR="00EB43E5" w:rsidRDefault="009101B9">
      <w:pPr>
        <w:spacing w:after="0" w:line="100" w:lineRule="atLeast"/>
        <w:jc w:val="center"/>
        <w:rPr>
          <w:rFonts w:ascii="Times New Roman" w:hAnsi="Times New Roman"/>
          <w:bCs/>
          <w:sz w:val="14"/>
          <w:szCs w:val="14"/>
          <w:lang w:val="uk-UA"/>
        </w:rPr>
      </w:pPr>
      <w:r w:rsidRPr="00713B14">
        <w:rPr>
          <w:rFonts w:ascii="Times New Roman" w:hAnsi="Times New Roman"/>
          <w:b/>
          <w:sz w:val="28"/>
          <w:szCs w:val="28"/>
          <w:u w:val="single"/>
          <w:lang w:val="uk-UA"/>
        </w:rPr>
        <w:t>Кафедра</w:t>
      </w:r>
      <w:r w:rsidR="00713B14" w:rsidRPr="00713B1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кримінального, цивільного та міжнародного права</w:t>
      </w:r>
    </w:p>
    <w:p w:rsidR="00EB43E5" w:rsidRDefault="009101B9">
      <w:pPr>
        <w:spacing w:after="0" w:line="100" w:lineRule="atLeast"/>
        <w:ind w:right="-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14"/>
          <w:szCs w:val="14"/>
          <w:lang w:val="uk-UA"/>
        </w:rPr>
        <w:t>(найменування кафедри)</w:t>
      </w:r>
    </w:p>
    <w:p w:rsidR="00EB43E5" w:rsidRDefault="00EB43E5">
      <w:pPr>
        <w:rPr>
          <w:rFonts w:ascii="Times New Roman" w:hAnsi="Times New Roman"/>
          <w:sz w:val="24"/>
          <w:szCs w:val="24"/>
          <w:lang w:val="uk-UA"/>
        </w:rPr>
      </w:pPr>
    </w:p>
    <w:p w:rsidR="00EB43E5" w:rsidRDefault="00EB43E5">
      <w:pPr>
        <w:rPr>
          <w:rFonts w:ascii="Times New Roman" w:hAnsi="Times New Roman"/>
          <w:sz w:val="24"/>
          <w:szCs w:val="24"/>
          <w:lang w:val="uk-UA"/>
        </w:rPr>
      </w:pPr>
    </w:p>
    <w:p w:rsidR="00EB43E5" w:rsidRDefault="009101B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shadow/>
          <w:noProof/>
          <w:sz w:val="16"/>
          <w:szCs w:val="16"/>
          <w:lang w:val="uk-UA" w:eastAsia="uk-UA"/>
        </w:rPr>
        <w:drawing>
          <wp:inline distT="0" distB="0" distL="0" distR="0">
            <wp:extent cx="1171575" cy="14763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E5" w:rsidRDefault="00EB43E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43E5" w:rsidRDefault="00EB43E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43E5" w:rsidRDefault="00EB43E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43E5" w:rsidRDefault="009101B9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EB43E5" w:rsidRDefault="009101B9">
      <w:pPr>
        <w:spacing w:after="0"/>
        <w:jc w:val="center"/>
      </w:pPr>
      <w:r>
        <w:rPr>
          <w:rFonts w:ascii="Times New Roman" w:hAnsi="Times New Roman"/>
          <w:sz w:val="28"/>
          <w:szCs w:val="28"/>
          <w:u w:val="single"/>
          <w:lang w:val="uk-UA"/>
        </w:rPr>
        <w:t>Науково-методичне та криміналістичне забезпечення досудового розслідування</w:t>
      </w:r>
    </w:p>
    <w:p w:rsidR="00EB43E5" w:rsidRDefault="009101B9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14"/>
          <w:szCs w:val="14"/>
          <w:lang w:val="uk-UA"/>
        </w:rPr>
        <w:t xml:space="preserve">                                                                                                (назва навчальної дисципліни)</w:t>
      </w:r>
    </w:p>
    <w:p w:rsidR="00EB43E5" w:rsidRDefault="00EB43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3E5" w:rsidRDefault="009101B9">
      <w:pPr>
        <w:spacing w:after="0" w:line="240" w:lineRule="auto"/>
        <w:rPr>
          <w:rFonts w:ascii="Times New Roman" w:hAnsi="Times New Roman"/>
          <w:bCs/>
          <w:sz w:val="14"/>
          <w:szCs w:val="1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Освітня програма: </w:t>
      </w: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Правоохоронна діяльність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</w:p>
    <w:p w:rsidR="00EB43E5" w:rsidRDefault="009101B9">
      <w:pPr>
        <w:spacing w:after="0" w:line="240" w:lineRule="auto"/>
        <w:ind w:right="56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14"/>
          <w:szCs w:val="14"/>
          <w:lang w:val="uk-UA"/>
        </w:rPr>
        <w:t>(назва освітньої програми)</w:t>
      </w:r>
    </w:p>
    <w:p w:rsidR="00EB43E5" w:rsidRDefault="00EB43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3E5" w:rsidRDefault="009101B9">
      <w:pPr>
        <w:spacing w:after="0" w:line="240" w:lineRule="auto"/>
        <w:rPr>
          <w:rFonts w:ascii="Times New Roman" w:hAnsi="Times New Roman"/>
          <w:bCs/>
          <w:sz w:val="14"/>
          <w:szCs w:val="1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Спеціальність: ___________</w:t>
      </w:r>
      <w:r>
        <w:rPr>
          <w:rFonts w:ascii="Times New Roman" w:hAnsi="Times New Roman"/>
          <w:sz w:val="24"/>
          <w:szCs w:val="24"/>
          <w:lang w:val="uk-UA"/>
        </w:rPr>
        <w:t>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262  Правоохоронна діяльність</w:t>
      </w:r>
      <w:r>
        <w:rPr>
          <w:rFonts w:ascii="Times New Roman" w:hAnsi="Times New Roman"/>
          <w:sz w:val="24"/>
          <w:szCs w:val="24"/>
          <w:lang w:val="uk-UA"/>
        </w:rPr>
        <w:t>_____________</w:t>
      </w:r>
    </w:p>
    <w:p w:rsidR="00EB43E5" w:rsidRDefault="009101B9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14"/>
          <w:szCs w:val="14"/>
          <w:lang w:val="uk-UA"/>
        </w:rPr>
        <w:t>(найменування спеціальності)</w:t>
      </w:r>
    </w:p>
    <w:p w:rsidR="00EB43E5" w:rsidRDefault="00EB43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3E5" w:rsidRDefault="009101B9">
      <w:pPr>
        <w:spacing w:after="0" w:line="240" w:lineRule="auto"/>
        <w:rPr>
          <w:rFonts w:ascii="Times New Roman" w:hAnsi="Times New Roman"/>
          <w:bCs/>
          <w:sz w:val="14"/>
          <w:szCs w:val="1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Галузь знань: _____________________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26  Цивільна безпека</w:t>
      </w:r>
      <w:r>
        <w:rPr>
          <w:rFonts w:ascii="Times New Roman" w:hAnsi="Times New Roman"/>
          <w:sz w:val="24"/>
          <w:szCs w:val="24"/>
          <w:lang w:val="uk-UA"/>
        </w:rPr>
        <w:t>______________</w:t>
      </w:r>
    </w:p>
    <w:p w:rsidR="00EB43E5" w:rsidRDefault="009101B9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14"/>
          <w:szCs w:val="14"/>
          <w:lang w:val="uk-UA"/>
        </w:rPr>
        <w:t>(найменування галузі знань)</w:t>
      </w:r>
    </w:p>
    <w:p w:rsidR="00EB43E5" w:rsidRDefault="00EB43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3E5" w:rsidRDefault="009101B9">
      <w:pPr>
        <w:spacing w:after="0" w:line="240" w:lineRule="auto"/>
        <w:rPr>
          <w:rFonts w:ascii="Times New Roman" w:hAnsi="Times New Roman"/>
          <w:bCs/>
          <w:sz w:val="14"/>
          <w:szCs w:val="1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Ступінь вищої освіти: ________________</w:t>
      </w:r>
      <w:r>
        <w:rPr>
          <w:rFonts w:ascii="Times New Roman" w:hAnsi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/>
          <w:sz w:val="24"/>
          <w:szCs w:val="24"/>
          <w:lang w:val="uk-UA"/>
        </w:rPr>
        <w:t>_________________________________</w:t>
      </w:r>
    </w:p>
    <w:p w:rsidR="00EB43E5" w:rsidRDefault="009101B9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14"/>
          <w:szCs w:val="14"/>
          <w:lang w:val="uk-UA"/>
        </w:rPr>
        <w:t>(назва ступеня вищої освіти)</w:t>
      </w:r>
    </w:p>
    <w:p w:rsidR="00EB43E5" w:rsidRDefault="00EB43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3E5" w:rsidRDefault="009101B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Викладач                         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к.ю.н., доцент _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НАЗАРЕНКО ПАВЛО ГРИГОРОВИЧ</w:t>
      </w:r>
      <w:r>
        <w:rPr>
          <w:rFonts w:ascii="Times New Roman" w:hAnsi="Times New Roman"/>
          <w:sz w:val="24"/>
          <w:szCs w:val="24"/>
          <w:u w:val="single"/>
          <w:lang w:val="uk-UA"/>
        </w:rPr>
        <w:t>_________</w:t>
      </w:r>
    </w:p>
    <w:p w:rsidR="00EB43E5" w:rsidRDefault="00EB43E5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B43E5" w:rsidRDefault="00EB43E5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B43E5" w:rsidRDefault="00EB43E5">
      <w:pPr>
        <w:rPr>
          <w:rFonts w:ascii="Times New Roman" w:hAnsi="Times New Roman"/>
          <w:sz w:val="24"/>
          <w:szCs w:val="24"/>
          <w:lang w:val="uk-UA"/>
        </w:rPr>
      </w:pPr>
    </w:p>
    <w:p w:rsidR="00EB43E5" w:rsidRDefault="00EB43E5">
      <w:pPr>
        <w:widowControl w:val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3E5" w:rsidRDefault="00EB43E5">
      <w:pPr>
        <w:widowControl w:val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3E5" w:rsidRDefault="00EB43E5">
      <w:pPr>
        <w:widowControl w:val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3E5" w:rsidRDefault="00EB43E5">
      <w:pPr>
        <w:widowControl w:val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3E5" w:rsidRDefault="009101B9">
      <w:pPr>
        <w:widowControl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Запоріжжя 2023</w:t>
      </w:r>
    </w:p>
    <w:tbl>
      <w:tblPr>
        <w:tblW w:w="9899" w:type="dxa"/>
        <w:tblInd w:w="-5" w:type="dxa"/>
        <w:tblLayout w:type="fixed"/>
        <w:tblLook w:val="04A0"/>
      </w:tblPr>
      <w:tblGrid>
        <w:gridCol w:w="2883"/>
        <w:gridCol w:w="7016"/>
      </w:tblGrid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EB43E5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uk-UA"/>
              </w:rPr>
              <w:t xml:space="preserve">Науково-методичне та криміналістичне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uk-UA"/>
              </w:rPr>
              <w:t>забезпечення досудового розслідування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ВК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вибіркова</w:t>
            </w:r>
          </w:p>
        </w:tc>
      </w:tr>
      <w:tr w:rsidR="00EB43E5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EB43E5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Назаренко Павло Григорович,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 xml:space="preserve">кандидат юридичних наук, доцент,доцент кафедри кримінального, цивільного та міжнародного права юридичного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факультету Інституту управління та права</w:t>
            </w:r>
          </w:p>
        </w:tc>
      </w:tr>
      <w:tr w:rsidR="00EB43E5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Телефон кафедри 0617698537, </w:t>
            </w:r>
          </w:p>
          <w:p w:rsidR="00EB43E5" w:rsidRDefault="009101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телефон викладача 0964949475, </w:t>
            </w:r>
          </w:p>
          <w:p w:rsidR="00EB43E5" w:rsidRDefault="009101B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E-mail викладача </w:t>
            </w:r>
            <w:hyperlink r:id="rId8" w:history="1">
              <w:r w:rsidR="00300710" w:rsidRPr="00624007">
                <w:rPr>
                  <w:rStyle w:val="a5"/>
                  <w:rFonts w:ascii="Times New Roman" w:hAnsi="Times New Roman"/>
                  <w:i/>
                  <w:sz w:val="24"/>
                  <w:szCs w:val="24"/>
                  <w:lang w:val="en-US"/>
                </w:rPr>
                <w:t>pavelnazarenkoo</w:t>
              </w:r>
              <w:r w:rsidR="00300710" w:rsidRPr="00624007">
                <w:rPr>
                  <w:rStyle w:val="a5"/>
                  <w:rFonts w:ascii="Times New Roman" w:hAnsi="Times New Roman"/>
                  <w:i/>
                  <w:sz w:val="24"/>
                  <w:szCs w:val="24"/>
                  <w:lang w:val="uk-UA"/>
                </w:rPr>
                <w:t>@gmail.com</w:t>
              </w:r>
            </w:hyperlink>
            <w:r w:rsidR="0030071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EB43E5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Предметна аудиторія згідно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розкладу</w:t>
            </w:r>
          </w:p>
        </w:tc>
      </w:tr>
      <w:tr w:rsidR="00EB43E5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Кількість годин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кредитів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розподіл годин (лекції 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практичні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самостійна робота 6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), вид контролю: залік.</w:t>
            </w:r>
          </w:p>
        </w:tc>
      </w:tr>
      <w:tr w:rsidR="00EB43E5" w:rsidRPr="00713B14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rPr>
                <w:i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відповідно до затвердженого графіку індивідуальних занять зі здобувачами вищої освіти, а також у режимі on-line та шляхом листування через електронну пошту 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Постреквізіти навчальної дисципліни</w:t>
            </w:r>
          </w:p>
        </w:tc>
      </w:tr>
      <w:tr w:rsidR="00EB43E5" w:rsidRPr="00713B14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Перелік дисциплін, вивчення яких має передувати дисципліні: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Науково-методичне та криміналістичне забезпечення досудового розслідування має тісний взаємозв'язок з іншими галузями права і, в першу чергу, з криміналістикою, кримінальним і кримінально-процесуальним правом, оскільки всі вони об'єднані спільною метою (бо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ротьба зі злочинністю), єдиними принципами і методами правового регулювання. Науково-методичне та криміналістичне забезпечення досудового розслідування тісно взаємопов'язане з кримінальним процесом, криміналістикою та оперативно-розшуковою діяльністю.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Default"/>
              <w:numPr>
                <w:ilvl w:val="0"/>
                <w:numId w:val="1"/>
              </w:numPr>
              <w:jc w:val="center"/>
            </w:pPr>
            <w:r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EB43E5" w:rsidRPr="00713B14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Специфіка курсу полягає, зокрема, у прикладному спрямуванні набутих здобувачам вищої освіти знань щодо вміння застосування ними новітніх техніко-криміналістичних засобів і методів збирання й дослідження доказів, останн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іх досягнень криміналістичної техніки, можливостей комп`ютерної техніки та комп`ютерних технологій, автоматизованих баз даних для розслідування певних видів (груп) кримінальних правопорушень та ефективного і результативного проведення окремих слідчих дій,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передусім слідчого огляду, обшуку, слідчого експерименту та інших. Все це обумовлює необхідність закріплення здобувачами вищої освіти здобутих  теоретичних знань у процесі практичних занять, відпрацювання ними навичок щодо застосування різноманітних техні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ко-криміналістичних засобів з метою виявлення, фіксації та вилучення слідів, отримання доказової інформації та її належного закріплення. самостійної роботи в міжсесійний період. Допомогти у всьому цьому і покликаний даний курс, який охоплює і лекційний мат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еріал, і матеріал, щодо проведення групових практичних занять, а також передбачає здобуття здобувачами вищої освіти певних практичних навичок щодо застосування техніко-криміналістичних засобів  і процесуального  оформлення отриманих результатів.</w:t>
            </w:r>
          </w:p>
          <w:p w:rsidR="00EB43E5" w:rsidRDefault="009101B9">
            <w:pPr>
              <w:pStyle w:val="Default"/>
              <w:ind w:firstLine="284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Загальні к</w:t>
            </w:r>
            <w:r>
              <w:rPr>
                <w:b/>
                <w:i/>
                <w:lang w:val="uk-UA"/>
              </w:rPr>
              <w:t>омпетентності:</w:t>
            </w:r>
          </w:p>
          <w:p w:rsidR="00EB43E5" w:rsidRDefault="009101B9">
            <w:pPr>
              <w:pStyle w:val="Default"/>
              <w:ind w:firstLine="284"/>
              <w:jc w:val="both"/>
              <w:rPr>
                <w:b/>
                <w:i/>
                <w:lang w:val="uk-UA"/>
              </w:rPr>
            </w:pPr>
            <w:r>
              <w:rPr>
                <w:lang w:val="uk-UA"/>
              </w:rPr>
              <w:t>ЗК1. Здатність застосовувати знання у практичних ситуаціях. ЗК2. Знання та розуміння предметної області та розуміння професійної діяльності. ЗК4. Здатність використовувати інформаційні та комунікаційні технології. ЗК5. Здатність вчитися і ов</w:t>
            </w:r>
            <w:r>
              <w:rPr>
                <w:lang w:val="uk-UA"/>
              </w:rPr>
              <w:t>олодівати сучасними знаннями. ЗК7. Здатність до адаптації та дії в новій ситуації. ЗК8. Здатність приймати обґрунтовані рішення. ЗК9. Здатність працювати в команді.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Фахові компетентності: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СК1. Усвідомлення функцій держави, форм реалізації цих функцій, прав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ових основ правоохоронної діяльності; дотримання основних принципів реалізації правоохоронної функції держави. СК2. Здатність організовувати нагляд (контроль) за додержанням вимог законодавства у сфері правоохоронної діяльності. СК3. Здатність професійно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перувати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категоріально-понятійним апаратом права і правоохоронної діяльності. СК4. Здатність до критичного та системного аналізу правових явищ і застосування набутих знань та навичок у професійній діяльності. СК5. Здатність самостійно збирати та критично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працьовувати, аналізувати та узагальнювати правову інформацію з різних джерел. СК6. Здатність аналізувати та систематизувати одержані результати, формулювати аргументовані висновки та рекомендації. СК10. Здатність визначати належні та придатні для юридично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го аналізу факти.. СК14. Здатність до використання технічних приладів та спеціальних засобів, інформаційно-пошукових систем та баз даних. СК20. Здатність вживати заходів з метою запобігання, виявлення та припинення адміністративних і кримінальних правопору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шень, заходів, спрямованих на усунення загроз життю та здоров’ю фізичних осіб та публічній безпеці.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Результати навчання: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РН1. Розуміти історичний, економічний, технологічний і культурний контексти розвитку правоохоронної діяльності.РН4. Формулювати і перев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іряти гіпотези, аргументувати висновки.РН7. Здійснювати координацію діяльності суб’єктів забезпечення публічної безпеки і порядку, а також комунікацію з фізичними та юридичними особами з метою своєчасного реагування на кримінальні злочини, адміністративні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правопорушення та події.РН8. Здійснювати пошук інформації у доступних джерелах для повного та всебічного встановлення необхідних обставин. РН10. Виокремлювати юридично значущі факти і формувати обґрунтовані правові висновки. РН14. Здійснювати пошук та анал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 новітньої інформації у сфері правоохоронної діяльності, мати навички саморозвитку та самоосвіти протягом життя, підвищення професійної майстерності, вивчення та використання передового досвіду у сфері правоохоронної діяльності. РН15. Працювати автономно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 команді виконуючи посадові обов’язки та під час розв’язання складних спеціалізованих задач правоохоронної діяльності. РН18. Застосовувати штатне озброєння підрозділу (вогнепальну зброю, спеціальні засоби, засоби фізичної сили); інформаційні системи,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технології, технології захисту даних, методи обробки, накопичення та оцінювання інформації, інформаційно-аналітичної роботи, бази даних (в тому числі міжвідомчі та міжнародні), оперативні та оперативно-технічні засоби, здійснення оперативно-ро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зшукової діяльності.</w:t>
            </w:r>
          </w:p>
          <w:p w:rsidR="00EB43E5" w:rsidRDefault="00EB43E5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Мета вивчення дисципліни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полягає в оволодінні здобувачами вищої освіти ґрунтовними теоретичними знаннями щодо діяльності органів досудового розслідування, прокуратури з розслідування кримінальних правопорушень та науково-методичного та криміналістичного забезпечення досудового роз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слідування, а також формування практичних </w:t>
            </w:r>
            <w:bookmarkStart w:id="1" w:name="page5"/>
            <w:bookmarkEnd w:id="1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навичок правильного застосування кримінального процесуального закону під час підготовки і проведення окремих слідчих (розшукових) дій.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 вивчення навчальної дисципліни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Основними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завданнями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дисципліни є ви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вчення та аналіз кримінально-процесуального законодавства України, підзаконних нормативно-правових актів, навчальної та монографічної літератури, отримання практичних навиків застосування наукових методик та криміналістичної тактики  відповідно до програми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дисципліни.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Зміст та складові навчальної дисципліни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EB43E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 короткій формі описується основний зміст та структура навчальної дисципліни.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Вивчення дисципліни «Науково-методичне та криміналістичне забезпечення досудового розслідування» розраховане на один сем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естр і два змістові модулі. 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Змістовий модуль 1. Загальні засади науково-методичного та криміналістичного забезпечення досудового розслідування.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Змістовий модуль 2. Загальні питання використання криміналістичної техніки в діяльності слідчого.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Загальний обс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яг – </w:t>
            </w:r>
            <w:r w:rsidR="005F29D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B43E5" w:rsidRDefault="00EB43E5">
            <w:pPr>
              <w:spacing w:after="0" w:line="240" w:lineRule="auto"/>
              <w:ind w:firstLine="284"/>
              <w:jc w:val="both"/>
            </w:pP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План вивчення навчальної дисципліни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5"/>
              <w:gridCol w:w="5812"/>
              <w:gridCol w:w="2126"/>
              <w:gridCol w:w="1276"/>
            </w:tblGrid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№ тижня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Назва теми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W w:w="2160" w:type="dxa"/>
                    <w:tblLayout w:type="fixed"/>
                    <w:tblLook w:val="04A0"/>
                  </w:tblPr>
                  <w:tblGrid>
                    <w:gridCol w:w="2160"/>
                  </w:tblGrid>
                  <w:tr w:rsidR="005F29D6" w:rsidTr="00117558">
                    <w:trPr>
                      <w:trHeight w:val="109"/>
                    </w:trPr>
                    <w:tc>
                      <w:tcPr>
                        <w:tcW w:w="2160" w:type="dxa"/>
                        <w:vAlign w:val="center"/>
                      </w:tcPr>
                      <w:p w:rsidR="005F29D6" w:rsidRDefault="005F29D6" w:rsidP="001175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74"/>
                          <w:rPr>
                            <w:rFonts w:ascii="Times New Roman" w:hAnsi="Times New Roman"/>
                            <w:b/>
                            <w:color w:val="000000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Cs/>
                            <w:color w:val="000000"/>
                            <w:lang w:val="uk-UA"/>
                          </w:rPr>
                          <w:t>Форми організації навчання</w:t>
                        </w:r>
                      </w:p>
                    </w:tc>
                  </w:tr>
                </w:tbl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Кількість годин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Поняття науково-методичного та криміналістичного забезпечення досудового розслідування.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лекція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Поняття науково-методичного та криміналістичного забезпечення досудового розслідування.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Актуальні проблеми криміналістичної тактики.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лекція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Актуальні проблеми криміналістичної тактики.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Особливості підготовки та тактики проведення окремих слідчих (розшукових) дій.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лекція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Особливості підготовки та тактики проведення окремих слідчих (розшукових) дій.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Актуальні проблеми криміналістичної методики.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лекція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Актуальні проблеми криміналістичної методики.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Особливості методики планування при розслідуванні злочинів та основні його завдання.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лекція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Особливості методики планування при розслідуванні злочинів та основні його завдання.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Поняття  засобів криміналістичної техніки, які застосовуються в діяльності слідчого та загальні питання їх застосування.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лекція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Поняття  засобів криміналістичної техніки, які застосовуються в діяльності слідчого та загальні питання їх застосування.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Класифікація науково-технічних засобів, які використовуються слідчим в процесі кримінального провадження. Комплекти техніко-криміналістичних засобів, які використовуються в діяльності слідчого. Пересувні криміналістичні лабораторії.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лекція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Класифікація науково-технічних засобів, які використовуються слідчим в процесі кримінального провадження. Комплекти техніко-криміналістичних засобів, які використовуються в діяльності слідчого. Пересувні криміналістичні лабораторії.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5F29D6" w:rsidTr="00117558">
              <w:tc>
                <w:tcPr>
                  <w:tcW w:w="86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Pr="009A039B" w:rsidRDefault="005F29D6" w:rsidP="005F29D6">
                  <w:pPr>
                    <w:pStyle w:val="1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A03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Всього аудиторних годин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29D6" w:rsidRPr="009A039B" w:rsidRDefault="005F29D6" w:rsidP="0011755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A03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28</w:t>
                  </w:r>
                </w:p>
              </w:tc>
            </w:tr>
          </w:tbl>
          <w:p w:rsidR="00EB43E5" w:rsidRDefault="00EB43E5">
            <w:pPr>
              <w:pStyle w:val="a6"/>
              <w:spacing w:after="0" w:line="240" w:lineRule="auto"/>
              <w:ind w:left="0" w:firstLine="5"/>
              <w:jc w:val="both"/>
            </w:pP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EB43E5" w:rsidRPr="00713B14">
        <w:trPr>
          <w:trHeight w:val="1557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1"/>
              <w:widowControl w:val="0"/>
              <w:spacing w:after="0" w:line="100" w:lineRule="atLeast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самостійної роботи є активізація засвоєння здобувачами вищої освіти теоретичних знань, формування навичок творчого опрацювання навчального матеріалу для підготовки до контрольних заходів та застування у подальшій роботі. </w:t>
            </w:r>
          </w:p>
          <w:p w:rsidR="00EB43E5" w:rsidRDefault="009101B9">
            <w:pPr>
              <w:pStyle w:val="1"/>
              <w:widowControl w:val="0"/>
              <w:spacing w:after="0" w:line="100" w:lineRule="atLeast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 здобувачів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вищої освіти повинна стимулювати прагнення до наукового пошуку, створювати умови для професійного зростання та самовдосконалення.</w:t>
            </w:r>
          </w:p>
          <w:p w:rsidR="00EB43E5" w:rsidRDefault="009101B9">
            <w:pPr>
              <w:pStyle w:val="1"/>
              <w:widowControl w:val="0"/>
              <w:spacing w:after="0" w:line="100" w:lineRule="atLeast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самостійної роботи для здобувачів вищої освіти денної та заочної форм навчання: </w:t>
            </w:r>
          </w:p>
          <w:p w:rsidR="00EB43E5" w:rsidRDefault="009101B9">
            <w:pPr>
              <w:pStyle w:val="1"/>
              <w:widowControl w:val="0"/>
              <w:spacing w:after="0" w:line="100" w:lineRule="atLeast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Поглиблене вивчення питань тем за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етодичними вказівками викладача. </w:t>
            </w:r>
          </w:p>
          <w:p w:rsidR="00EB43E5" w:rsidRDefault="009101B9">
            <w:pPr>
              <w:pStyle w:val="1"/>
              <w:widowControl w:val="0"/>
              <w:spacing w:after="0" w:line="100" w:lineRule="atLeast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Систематичне опрацювання лекційного матеріалу, запропонованої базової та допоміжної літературу з питань курсу. </w:t>
            </w:r>
          </w:p>
          <w:p w:rsidR="00EB43E5" w:rsidRDefault="009101B9">
            <w:pPr>
              <w:pStyle w:val="1"/>
              <w:widowControl w:val="0"/>
              <w:spacing w:after="0" w:line="100" w:lineRule="atLeast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Систематична підготовка до практичних занять відповідно до запропонованих планів їх проведення (переліку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питань). </w:t>
            </w:r>
          </w:p>
          <w:p w:rsidR="00EB43E5" w:rsidRDefault="009101B9">
            <w:pPr>
              <w:pStyle w:val="a6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Самостійна підготовка до поточного та підсумкового модульного контролю.</w:t>
            </w:r>
          </w:p>
          <w:p w:rsidR="00EB43E5" w:rsidRDefault="009101B9">
            <w:pPr>
              <w:pStyle w:val="1"/>
              <w:widowControl w:val="0"/>
              <w:spacing w:after="0" w:line="100" w:lineRule="atLeast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 вищої освіти повинен опрацювати необхідний обсяг навчальної літератури та нормативно-правових актів. У ході засвоєння програми курсу, під час підготовки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підсумкового контролю студентам рекомендується звертатись до першоджерел (міжнародних нормативно-правових актів, Конституції України, законів, наказів, інструкцій міністерств та інших нормативно-правових документів, державних та міжнародних стандартів) і 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монографічної літератури, в якій висвітлено основні погляди на відповідні проблеми,</w:t>
            </w:r>
          </w:p>
          <w:p w:rsidR="00EB43E5" w:rsidRDefault="009101B9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Здобувачі вищої освіти мають змогу завантажити свої напрацювання в систему дистанційного навчання (moodle) НУ «Запорізька політехніка» (</w:t>
            </w:r>
            <w:hyperlink r:id="rId9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https://moodle.zp.edu.ua/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Система та критерії оцінювання курсу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Застосування </w:t>
            </w:r>
            <w:r>
              <w:rPr>
                <w:rFonts w:ascii="Times New Roman" w:eastAsia="TimesNewRomanPS-ItalicMT" w:hAnsi="Times New Roman"/>
                <w:i/>
                <w:iCs/>
                <w:sz w:val="24"/>
                <w:szCs w:val="24"/>
                <w:lang w:val="uk-UA"/>
              </w:rPr>
              <w:t xml:space="preserve">методів 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перевірки та оцінювання знань, умінь і навичок здобувачів вищої освіти ґрунтується на системному підході. Серед основних використовуються т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акі: </w:t>
            </w:r>
            <w:r>
              <w:rPr>
                <w:rFonts w:ascii="Times New Roman" w:eastAsia="TimesNewRomanPSMT" w:hAnsi="Times New Roman"/>
                <w:i/>
                <w:sz w:val="24"/>
                <w:szCs w:val="24"/>
                <w:lang w:val="uk-UA"/>
              </w:rPr>
              <w:t xml:space="preserve">спостереження 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за навчальною діяльністю здобувачів вищої освіти при вивченні навчальної дисципліни, яке дає змогу скласти уявлення про пізнавальні можливості здобувачів вищої освіти, їх ставлення до оволодіння знаннями, рівень самостійної підготовки то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що; </w:t>
            </w:r>
            <w:r>
              <w:rPr>
                <w:rFonts w:ascii="Times New Roman" w:eastAsia="TimesNewRomanPSMT" w:hAnsi="Times New Roman"/>
                <w:i/>
                <w:sz w:val="24"/>
                <w:szCs w:val="24"/>
                <w:lang w:val="uk-UA"/>
              </w:rPr>
              <w:t>усне опитування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 (індивідуальне, фронтальне, просте, складне) використовується у традиційній системі перевірки та оцінювання навчальних досягнень здобувачів вищої освіти шляхом постановки перед ними запитань за змістом навчального матеріалу та оцінюванн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і їх відповідей; </w:t>
            </w:r>
            <w:r>
              <w:rPr>
                <w:rFonts w:ascii="Times New Roman" w:eastAsia="TimesNewRomanPSMT" w:hAnsi="Times New Roman"/>
                <w:i/>
                <w:sz w:val="24"/>
                <w:szCs w:val="24"/>
                <w:lang w:val="uk-UA"/>
              </w:rPr>
              <w:t>письмовий контроль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 дозволяє повніше реалізувати діагностичну функцію, заощадити, виявити уміння логічного, послідовного викладення думок здобувачем вищої освіти; </w:t>
            </w:r>
            <w:r>
              <w:rPr>
                <w:rFonts w:ascii="Times New Roman" w:eastAsia="TimesNewRomanPSMT" w:hAnsi="Times New Roman"/>
                <w:i/>
                <w:sz w:val="24"/>
                <w:szCs w:val="24"/>
                <w:lang w:val="uk-UA"/>
              </w:rPr>
              <w:t>графічна перевірка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 індивідуалізує навчання, дає можливість ґрунтовно реалізув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ати діагностичну та освітню функції навчання, сприяє виявленню вміння та навичок здобувачів вищої освіти узагальнювати, класифікувати вивчений матеріал тощо; </w:t>
            </w:r>
            <w:r>
              <w:rPr>
                <w:rFonts w:ascii="Times New Roman" w:eastAsia="TimesNewRomanPSMT" w:hAnsi="Times New Roman"/>
                <w:i/>
                <w:sz w:val="24"/>
                <w:szCs w:val="24"/>
                <w:lang w:val="uk-UA"/>
              </w:rPr>
              <w:t>тестування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 при вивченні державно-правових явищ і інститутів в їх історичному просторі на певному п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ідсумковому етапі сприяють визначенню рівню засвоєння поточного матеріалу і підготовки в подальшому до кваліфікаційного тесту випускника. </w:t>
            </w:r>
          </w:p>
          <w:p w:rsidR="00EB43E5" w:rsidRDefault="009101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процесі викладання курсу «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uk-UA"/>
              </w:rPr>
              <w:t>Науково-методичне та криміналістичне забезпечення досудового розслідування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використовуються таки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види контролю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знань, вмінь та навичок здобувачів вищої освіти:</w:t>
            </w:r>
          </w:p>
          <w:p w:rsidR="00EB43E5" w:rsidRDefault="009101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 діагностичний (попередній, нульовий)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. Попередній контроль (перевірка та оцінка залишкових знань) застосовується як передумова для успішного планування і керівництва на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вчальним процесом. Він проводиться на початку вивчення навчальної дисципліни з метою визначення загального рівня підготовки здобувачів вищої освіти до оволодіння її матеріалу.</w:t>
            </w:r>
          </w:p>
          <w:p w:rsidR="00EB43E5" w:rsidRDefault="009101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 п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lang w:val="uk-UA"/>
              </w:rPr>
              <w:t xml:space="preserve">оточний контроль. 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Поточний контроль знань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вмінь та навичок здобувачів вищої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 слугує засобом виявлення ступеня сприйняття (засвоєння) навчального матеріалу з дисципліни; здійснюється у повсякденній навчальній роботі й виражається у систематичних спостереженнях викладача за навчальною діяльністю здобувачів вищої освіти та її о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цінки на семінарських заняттях. </w:t>
            </w:r>
          </w:p>
          <w:p w:rsidR="00EB43E5" w:rsidRDefault="009101B9">
            <w:pPr>
              <w:spacing w:after="0" w:line="240" w:lineRule="auto"/>
              <w:ind w:firstLine="709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 рубіжний контроль. 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Рубіжний (тематичний, модульний) контроль спрямований на перевірку засвоєння отриманих знань через триваліший період і охоплює значний за обсягом розділи курсу, проводиться у формі тестування і письмово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ї контрольної роботи;</w:t>
            </w:r>
          </w:p>
          <w:p w:rsidR="00EB43E5" w:rsidRDefault="009101B9">
            <w:pPr>
              <w:spacing w:after="0" w:line="240" w:lineRule="auto"/>
              <w:ind w:firstLine="709"/>
              <w:jc w:val="both"/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  <w:lang w:val="uk-UA"/>
              </w:rPr>
              <w:t>– підсумковий контроль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 – перевірка рівня засвоєння знань, умінь здобувачів вищої освіти при вивчені дисципліни (іспит). Основна мета підсумкового контролю – визначення рівня змісту узагальнених знань здобувачів вищої освіти за весь пе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ріод навчання з дисципліни, вміння застосовувати їх у практичній діяльності. </w:t>
            </w:r>
          </w:p>
          <w:p w:rsidR="00EB43E5" w:rsidRDefault="009101B9">
            <w:pPr>
              <w:spacing w:after="0" w:line="240" w:lineRule="auto"/>
              <w:ind w:firstLine="600"/>
              <w:jc w:val="both"/>
              <w:rPr>
                <w:rFonts w:ascii="Times New Roman" w:eastAsia="TimesNewRomanPSMT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Оцінювання знань, умінь та навичок – рейтингове, за багатобальною (100 бальною) шкалою. Порядок розподілу балів за видами контролю наведений нижче.</w:t>
            </w:r>
          </w:p>
          <w:p w:rsidR="00EB43E5" w:rsidRDefault="009101B9">
            <w:pPr>
              <w:spacing w:after="0" w:line="240" w:lineRule="auto"/>
              <w:ind w:firstLine="709"/>
              <w:jc w:val="both"/>
              <w:rPr>
                <w:lang w:val="uk-UA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 xml:space="preserve">Форма підсумкового контролю – 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uk-UA"/>
              </w:rPr>
              <w:t>залік.</w:t>
            </w:r>
          </w:p>
        </w:tc>
      </w:tr>
      <w:tr w:rsidR="00EB43E5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EB43E5" w:rsidRPr="00713B14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E5" w:rsidRDefault="009101B9">
            <w:pPr>
              <w:pStyle w:val="Default"/>
              <w:ind w:firstLine="284"/>
              <w:jc w:val="both"/>
              <w:rPr>
                <w:b/>
                <w:i/>
                <w:iCs/>
                <w:lang w:val="uk-UA"/>
              </w:rPr>
            </w:pPr>
            <w:r>
              <w:rPr>
                <w:b/>
                <w:i/>
                <w:iCs/>
                <w:lang w:val="uk-UA"/>
              </w:rPr>
              <w:t>Політика щодо підготовки до навчальних занять.</w:t>
            </w:r>
            <w:r w:rsidR="005F29D6">
              <w:rPr>
                <w:b/>
                <w:i/>
                <w:iCs/>
                <w:lang w:val="uk-UA"/>
              </w:rPr>
              <w:t xml:space="preserve"> </w:t>
            </w:r>
            <w:r>
              <w:rPr>
                <w:i/>
                <w:lang w:val="uk-UA"/>
              </w:rPr>
              <w:t>Передбачається, що здобувачі вищої освіти професійно зорієнтовані, позитивно ставляться до навчально-пізнавальної діяльності, виявляючи високий рівень розвитку відповідальності. При вивч</w:t>
            </w:r>
            <w:r>
              <w:rPr>
                <w:i/>
                <w:lang w:val="uk-UA"/>
              </w:rPr>
              <w:t>енні дисципліни «</w:t>
            </w:r>
            <w:r>
              <w:rPr>
                <w:i/>
                <w:lang w:val="uk-UA" w:eastAsia="uk-UA"/>
              </w:rPr>
              <w:t>Науково-методичне та криміналістичне забезпечення досудового розслідування</w:t>
            </w:r>
            <w:r>
              <w:rPr>
                <w:lang w:val="uk-UA"/>
              </w:rPr>
              <w:t xml:space="preserve">» </w:t>
            </w:r>
            <w:r>
              <w:rPr>
                <w:i/>
                <w:lang w:val="uk-UA"/>
              </w:rPr>
              <w:t>необхідно спиратися на конспект лекцій та рекомендовану літературу. Заохочується використання інших джерел з альтернативними поглядами на заплановані до розгляду п</w:t>
            </w:r>
            <w:r>
              <w:rPr>
                <w:i/>
                <w:lang w:val="uk-UA"/>
              </w:rPr>
              <w:t xml:space="preserve">итання задля формування продуктивної дискусії та різнобічного вивчення явищ правового характеру. Завдання викладача мають подаватися до розгляду вчасно. Порушення термінів, відведених </w:t>
            </w:r>
            <w:r>
              <w:rPr>
                <w:i/>
                <w:lang w:val="uk-UA"/>
              </w:rPr>
              <w:lastRenderedPageBreak/>
              <w:t xml:space="preserve">на виконання завдання, </w:t>
            </w:r>
            <w:r>
              <w:rPr>
                <w:i/>
                <w:color w:val="auto"/>
                <w:lang w:val="uk-UA"/>
              </w:rPr>
              <w:t>відображається на оцінці:  40 % від визначеної дл</w:t>
            </w:r>
            <w:r>
              <w:rPr>
                <w:i/>
                <w:color w:val="auto"/>
                <w:lang w:val="uk-UA"/>
              </w:rPr>
              <w:t xml:space="preserve">я завдання кількості балів. При підготовці до занять мають використовуватися матеріали лекцій викладача. </w:t>
            </w:r>
          </w:p>
          <w:p w:rsidR="00EB43E5" w:rsidRDefault="009101B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Політика щодо академічної доброчесності.</w:t>
            </w:r>
            <w:r w:rsidR="005F29D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Дотримання здобувачами вищої освіти академічної доброчесності передбачає: самостійне виконання навчальних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завдань, завдань поточного та підсумкового контролю; посилання в письмових роботах на джерела інформації у разі використання чужих ідей, розробок або тверджень; дотримання норм законодавства про авторське право; надання достовірної інформації про результат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и власної навчальної діяльності і джерела інформації. Відсутність посилань на використані джерела, фабрикування джерел або списування є неприпустимим. Виявлення ознак академічної недоброчесності в будь-якій письмовій роботі студента є підставою для її неза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рахуванння викладачем. Докладно види порушень академічної доброчесності та види академічної відповідальності зазначені в Кодексі академічної доброчесності Національного університету «Запорізька політехніка» від 29.06.2021 р.</w:t>
            </w:r>
          </w:p>
          <w:p w:rsidR="00EB43E5" w:rsidRDefault="00EB43E5">
            <w:pPr>
              <w:spacing w:after="0" w:line="240" w:lineRule="auto"/>
              <w:ind w:firstLine="284"/>
              <w:jc w:val="both"/>
              <w:rPr>
                <w:b/>
                <w:i/>
                <w:iCs/>
                <w:lang w:val="uk-UA"/>
              </w:rPr>
            </w:pPr>
            <w:hyperlink r:id="rId10" w:history="1">
              <w:r w:rsidR="009101B9">
                <w:rPr>
                  <w:rStyle w:val="a5"/>
                  <w:rFonts w:ascii="Times New Roman" w:hAnsi="Times New Roman"/>
                  <w:i/>
                  <w:sz w:val="24"/>
                  <w:szCs w:val="24"/>
                  <w:lang w:val="uk-UA"/>
                </w:rPr>
                <w:t>https://zp.edu.ua/uploads/dept_nm/Nakaz_N253_vid_29.06.21.pdf</w:t>
              </w:r>
            </w:hyperlink>
          </w:p>
          <w:p w:rsidR="00EB43E5" w:rsidRDefault="009101B9">
            <w:pPr>
              <w:pStyle w:val="Default"/>
              <w:ind w:firstLine="284"/>
              <w:jc w:val="both"/>
              <w:rPr>
                <w:b/>
                <w:i/>
                <w:iCs/>
                <w:lang w:val="uk-UA"/>
              </w:rPr>
            </w:pPr>
            <w:r>
              <w:rPr>
                <w:b/>
                <w:i/>
                <w:iCs/>
                <w:color w:val="auto"/>
                <w:lang w:val="uk-UA"/>
              </w:rPr>
              <w:t>Політика щодо відвідування навчальних занять.</w:t>
            </w:r>
            <w:r w:rsidR="005F29D6">
              <w:rPr>
                <w:b/>
                <w:i/>
                <w:iCs/>
                <w:color w:val="auto"/>
                <w:lang w:val="uk-UA"/>
              </w:rPr>
              <w:t xml:space="preserve"> </w:t>
            </w:r>
            <w:r>
              <w:rPr>
                <w:i/>
                <w:color w:val="auto"/>
                <w:lang w:val="uk-UA"/>
              </w:rPr>
              <w:t>Відвідування занять є важливою складовою здобуття освіти. Передбачається, що всі здобувачі вищої освіти</w:t>
            </w:r>
            <w:r>
              <w:rPr>
                <w:i/>
                <w:color w:val="auto"/>
                <w:lang w:val="uk-UA"/>
              </w:rPr>
              <w:t xml:space="preserve"> відвідають усі лекції і практичні зайняття курсу. Здобувачі вищої освіти мають інформувати викладача про неможливість відвідати заняття. Пропущені лекції або практичні заняття зараховуються шляхом конспектування рекомендованих джерел, розв’язування задач,</w:t>
            </w:r>
            <w:r>
              <w:rPr>
                <w:i/>
                <w:color w:val="auto"/>
                <w:lang w:val="uk-UA"/>
              </w:rPr>
              <w:t xml:space="preserve"> підготовки реферату тощо із наступним їх захистом. Обов’язковою є присутність на модульному та підсумковому контролі. </w:t>
            </w:r>
          </w:p>
          <w:p w:rsidR="00EB43E5" w:rsidRDefault="009101B9">
            <w:pPr>
              <w:pStyle w:val="a6"/>
              <w:spacing w:after="0" w:line="240" w:lineRule="auto"/>
              <w:ind w:left="0" w:firstLine="284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Політика щодо оцінювання.</w:t>
            </w:r>
            <w:r w:rsidR="005F29D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Високо оцінюється прагнення здобувачів вищої освіти: регулярно відвідувати заняття; планомірно та систематично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працювати над засвоєнням навчального матеріалу; активно працювати на практичних заняттях (брати участь в обговоренні дискусійних питань). Викладач бере до уваги такі показники академічної активності та додаткових освітніх досягнень здобувачів вищої освіти: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відповіді на питання плану практичного заняття під час аудиторної роботи; доповіді з проблемних питань практичного заняття; участь в активних формах навчання на практичних заняттях; розробка тематичних презентацій і кейсів; участь у роботі наукового гуртк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а: публікація тез доповідей та участь у конференціях, написання наукових статей, есе, рефератів; відпрацювання тем пропущених практичних занять; здобутки у сфері міжнародних відносин, міжнародної інформації, що підтверджені документально (грамоти, дипломи,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сертифікати тощо). Підсумкова оцінка за вивчення навчальної дисципліни визначається сумою рейтингових оцінок (балів), одержаних за окремі оцінювані форми навчальної діяльності: поточне та підсумкове тестування рівня засвоєння теоретичного матеріалу під ча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 аудиторних занять та самостійної роботи (модульний контроль) (до 60 балів) і рейтингової оцінки з екзамену (до 40 балів).</w:t>
            </w:r>
          </w:p>
        </w:tc>
      </w:tr>
    </w:tbl>
    <w:p w:rsidR="00EB43E5" w:rsidRDefault="00EB43E5">
      <w:pPr>
        <w:rPr>
          <w:lang w:val="uk-UA"/>
        </w:rPr>
      </w:pPr>
    </w:p>
    <w:p w:rsidR="00EB43E5" w:rsidRDefault="00EB43E5">
      <w:pPr>
        <w:rPr>
          <w:lang w:val="uk-UA"/>
        </w:rPr>
      </w:pPr>
    </w:p>
    <w:sectPr w:rsidR="00EB43E5" w:rsidSect="00EB43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1B9" w:rsidRDefault="009101B9">
      <w:pPr>
        <w:spacing w:line="240" w:lineRule="auto"/>
      </w:pPr>
      <w:r>
        <w:separator/>
      </w:r>
    </w:p>
  </w:endnote>
  <w:endnote w:type="continuationSeparator" w:id="1">
    <w:p w:rsidR="009101B9" w:rsidRDefault="00910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charset w:val="CC"/>
    <w:family w:val="roman"/>
    <w:pitch w:val="default"/>
    <w:sig w:usb0="00000000" w:usb1="00000000" w:usb2="00000010" w:usb3="00000000" w:csb0="00020000" w:csb1="00000000"/>
  </w:font>
  <w:font w:name="TimesNewRomanPS-ItalicMT">
    <w:altName w:val="Yu Gothic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1B9" w:rsidRDefault="009101B9">
      <w:pPr>
        <w:spacing w:after="0"/>
      </w:pPr>
      <w:r>
        <w:separator/>
      </w:r>
    </w:p>
  </w:footnote>
  <w:footnote w:type="continuationSeparator" w:id="1">
    <w:p w:rsidR="009101B9" w:rsidRDefault="009101B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AD2"/>
    <w:rsid w:val="000B73D4"/>
    <w:rsid w:val="00143CD1"/>
    <w:rsid w:val="00300710"/>
    <w:rsid w:val="003C7EB3"/>
    <w:rsid w:val="004808BA"/>
    <w:rsid w:val="005F29D6"/>
    <w:rsid w:val="00616571"/>
    <w:rsid w:val="0063473A"/>
    <w:rsid w:val="006E4F77"/>
    <w:rsid w:val="006F1279"/>
    <w:rsid w:val="00713B14"/>
    <w:rsid w:val="0074717E"/>
    <w:rsid w:val="007C0026"/>
    <w:rsid w:val="009101B9"/>
    <w:rsid w:val="009A1E74"/>
    <w:rsid w:val="00A32B56"/>
    <w:rsid w:val="00AC2AD2"/>
    <w:rsid w:val="00B87649"/>
    <w:rsid w:val="00D9419F"/>
    <w:rsid w:val="00EB43E5"/>
    <w:rsid w:val="00EB6C9D"/>
    <w:rsid w:val="5DE4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E5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qFormat/>
    <w:rsid w:val="00EB43E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43E5"/>
    <w:pPr>
      <w:ind w:left="720"/>
    </w:pPr>
  </w:style>
  <w:style w:type="paragraph" w:customStyle="1" w:styleId="Default">
    <w:name w:val="Default"/>
    <w:rsid w:val="00EB43E5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">
    <w:name w:val="Абзац списка1"/>
    <w:basedOn w:val="a"/>
    <w:rsid w:val="00EB43E5"/>
    <w:pPr>
      <w:ind w:left="720"/>
    </w:pPr>
    <w:rPr>
      <w:rFonts w:eastAsia="SimSun" w:cs="Calibri"/>
    </w:rPr>
  </w:style>
  <w:style w:type="character" w:customStyle="1" w:styleId="a4">
    <w:name w:val="Текст выноски Знак"/>
    <w:basedOn w:val="a0"/>
    <w:link w:val="a3"/>
    <w:uiPriority w:val="99"/>
    <w:semiHidden/>
    <w:rsid w:val="00EB43E5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nazarenko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p.edu.ua/uploads/dept_nm/Nakaz_N253_vid_29.06.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p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11582</Words>
  <Characters>6602</Characters>
  <Application>Microsoft Office Word</Application>
  <DocSecurity>0</DocSecurity>
  <Lines>55</Lines>
  <Paragraphs>36</Paragraphs>
  <ScaleCrop>false</ScaleCrop>
  <Company/>
  <LinksUpToDate>false</LinksUpToDate>
  <CharactersWithSpaces>18148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ТехноRAY</dc:creator>
  <cp:lastModifiedBy>ТехноRAY</cp:lastModifiedBy>
  <cp:revision>11</cp:revision>
  <dcterms:created xsi:type="dcterms:W3CDTF">2023-03-11T19:06:00Z</dcterms:created>
  <dcterms:modified xsi:type="dcterms:W3CDTF">2023-03-23T17:23:00Z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8322DE25DBD6401992CC053C638879F6</vt:lpwstr>
  </property>
</Properties>
</file>