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УНІВЕРСИТЕТ "ЗАПОРІЗЬКА ПОЛІТЕХНІКА"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кафедра  теорії  та  практики  перекладу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1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СИЛАБУС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навчальної  дисципліни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 – 4ф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курс другої іноземної мови (французької)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Рівень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Другий (магістерський)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Галузь знань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03 Гуманітарні науки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Спеціальність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035 Філологія</w:t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Спеціалізація: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035.041 Германські мови та літератури (переклад включно),  перша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англійська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Германські мови та літератури (переклад включно)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Кваліфікація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Магістр філології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Запоріжжя – 2023</w:t>
      </w:r>
    </w:p>
    <w:tbl>
      <w:tblPr>
        <w:tblStyle w:val="Table1"/>
        <w:tblW w:w="93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2235"/>
        <w:gridCol w:w="3885"/>
        <w:gridCol w:w="1620"/>
        <w:gridCol w:w="956"/>
        <w:tblGridChange w:id="0">
          <w:tblGrid>
            <w:gridCol w:w="648"/>
            <w:gridCol w:w="2235"/>
            <w:gridCol w:w="3885"/>
            <w:gridCol w:w="1620"/>
            <w:gridCol w:w="956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інформація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Обов’язкова навчальна дисципліна "Практичний курс другої іноземної мови(французька)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відповідає робочому навчальному плану (код ОПП ОК 4).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Другий (магістерський) рівень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Викладач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Лут Катерина Анатоліївна, кандидат філологічних наук, доцент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Контактна інформація викладача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кафедри: 061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769 - 85 - 89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кафедри: kafedra_pereklad@zntu.edu.ua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 і місце проведення навчальної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 розкладом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кількість годин на рік– 345 (165/180), кредитів – 11,5 (5,5/6). Із них: практичних – 120 (60/60), самостійна робота – 225 (105/120). Вид контролю - екзамен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Згідно з графіком консультацій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Пререквізіти і постреквізіти навчальної дисципліни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Пререквізити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"Практичний курс другої іноземної мови(французька)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Постреквізити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відсутні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Характеристика навчальної дисципліни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Дисципліна є проміжною для будь-якої філологічної освіти в цілому та для германського мовознавства зокрема. Вона є логічним продовженням для опанування всім курсом другої іноземної мови та всіма іншими дисциплінами германського мовознавства – як практичного (основна та друга іноземні мови), так і теоретичного порядку.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Компетентності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яких набуває студент при вивченні.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 (ЗК):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спілкуватися державною мовою як усно, так і письмово.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бути критичним і самокритичним.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пошуку, опрацювання та аналізу інформації з різних джерел.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Уміння виявляти, ставити та вирішувати проблеми.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працювати в команді та автономно.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спілкуватися іноземною мовою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Навички використання інформаційних і комунікаційних технологій.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ЗК-9.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адаптації та дії в новій ситуації.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ЗК-10.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спілкуватися з представниками інших професійних груп різного рівня з експертами з інших галузей знань / видів економічної діяльності).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ЗК-12.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нові ідеї (креативність).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 (фахові компетентності)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(СК):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СК-8.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Усвідомлення ролі експресивних, емоційних, логічних засобів мови для досягнення запланованого прагматичного результату.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СК-10.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Володіння двома іноземними мовами відповідно до загальноєвропейських стандартів мовної освіти (CEFR): рівень С1 для першої (англійська) мови, рівень В2 – для другої мови.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СК-11.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здійснювати двосторонній (усний і письмовий) переклад з іноземної мови на рідну та з рідної на іноземну з огляду на коректне використання лексико-граматичних трансформацій.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Програмні результати навчання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(ПРН)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      </w:r>
          </w:p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      </w:r>
          </w:p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      </w:r>
          </w:p>
          <w:p w:rsidR="00000000" w:rsidDel="00000000" w:rsidP="00000000" w:rsidRDefault="00000000" w:rsidRPr="00000000" w14:paraId="0000007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Характеризувати теоретичні засади (концепції, категорії, принципи, основні поняття тощо) та прикладні аспекти обраної філологічної спеціалізації.</w:t>
            </w:r>
          </w:p>
          <w:p w:rsidR="00000000" w:rsidDel="00000000" w:rsidP="00000000" w:rsidRDefault="00000000" w:rsidRPr="00000000" w14:paraId="0000007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Збирати й систематизувати мовні, літературні, фольклорні факти, інтерпретувати й перекладати тексти різних стилів і жанрів (залежно від обраної спеціалізації)</w:t>
            </w:r>
          </w:p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Дотримуватися правил академічної доброчесності.</w:t>
            </w:r>
          </w:p>
          <w:p w:rsidR="00000000" w:rsidDel="00000000" w:rsidP="00000000" w:rsidRDefault="00000000" w:rsidRPr="00000000" w14:paraId="0000007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ПРН-14.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Створювати, аналізувати та редагувати тексти різних стилів і жанрів. </w:t>
            </w:r>
          </w:p>
          <w:p w:rsidR="00000000" w:rsidDel="00000000" w:rsidP="00000000" w:rsidRDefault="00000000" w:rsidRPr="00000000" w14:paraId="0000007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Мета вивчення навчальної дисципліни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Формувати у студентів загальні комунікативні мовленнєві компетенції (лінгвістичну, соціолінгвістичну і прагматичну) для забезпечення їхнього ефективного спілкування в академічному середовищі; сприяти у студентів розвитку здібностей до самооцінки та здатності до самостійного навчання, що дозволятиме їм продовжувати навчання в академічному і професійному середовищі й після отримання диплома про вищу освіту; визначати позицію і точку зору мовця;  розрізняти різні стилістичні регістри в усному та письмовому спілкуванні з носіями мови, друзями, незнайомцями, колегами, працедавцями і з людьми різного віку і соціального статусу, маючи при цьому різні наміри спілкування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 Завдання вивчення дисципліни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розвинути комунікативні та когнітивні навички; </w:t>
            </w:r>
          </w:p>
          <w:p w:rsidR="00000000" w:rsidDel="00000000" w:rsidP="00000000" w:rsidRDefault="00000000" w:rsidRPr="00000000" w14:paraId="0000009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навчити розуміти основні ідеї та розпізнавати відповідну інформацію в ході обговорень, дебатів, офіційних доповідей, лекцій, бесід, що за темою пов'язані з навчанням і спеціальністю; </w:t>
            </w:r>
          </w:p>
          <w:p w:rsidR="00000000" w:rsidDel="00000000" w:rsidP="00000000" w:rsidRDefault="00000000" w:rsidRPr="00000000" w14:paraId="0000009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розуміти тексти, пов'язані з навчанням та спеціальністю, з підручників та інших джерел, розуміти намір автора тексту і комунікативні наслідки висловлювання;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засвоїти граматичні правила визначених тем;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оволодіти правилами професійного листування 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вміти читати та перекладати  тексти за програмною тематикою;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писати зрозумілі, деталізовані тексти різного спрямування, пов'язані з особистою та професійною сферами, писати з високим ступенем граматичної коректності резюме, мотиваційний лист;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розуміти французьке монологічне та діалогічне мовлення за програмною тематикою;</w:t>
            </w:r>
          </w:p>
          <w:p w:rsidR="00000000" w:rsidDel="00000000" w:rsidP="00000000" w:rsidRDefault="00000000" w:rsidRPr="00000000" w14:paraId="0000009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продукувати міні-діалоги  та монологи у ситуативній комунікації 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Зміст навчальної дисципліни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Основними формами навчальної роботи при вивченні дисципліни є практичні заняття. Вони проводяться з базових питань політичних установ Французької Республіки, державного  і  адміністративного устрою країни, відомості про Францію як п’яту республіку, функціонування різних асоціацій, соціального життя Франції засобів оформлення професійної та дипломатичної кореспонденції, містять узагальнений лінгво-країнознавчий матеріал. У процесі проведення практичних занять увага концентрується на найбільш складних питаннях досліджуваної теми, додаються рекомендації для самостійної роботи над відповідними темами. Обов’язкова навчальна дисципліна "Практичний курс другої іноземної мови(французька)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викладається за кредитно-модульною системою організації навчального процесу. Тематика дисципліни розрахована на 4 змістовних модуля, які містять 16 тем.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Змістовий модуль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Читання.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Вивчаюче читання. Лексичний тренінг.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 Читання.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Вивчаюче читання. Лексичний тренінг.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«Французька сім’я».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«Права людини та права жінок».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«Французька молодь».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 Граматика. Граматичний тренінг.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1.Subjonctif .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2.Узгодження часів дійсного способу.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3. Розмовна практика. Ситуативна комунікація. Продукування діалогів.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Обговорення тематичних питань.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2.прослуховування тематичних аудіо матеріалів, перегляд автентичних відеоматеріалів.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Міні-діалоги.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4. Індивідуальні тематичні презентації.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Змістовий 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 Читання.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Вивчаюче читання. Лексичний тренінг.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«Медицина у Франції»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2.«Прибутки Французів».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«ЗМІ Франції».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4.«Захист навколишнього середовища».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 Граматика. Граматичний тренінг.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Вираження протиставлення, гіпотези, поступки, умови, причини, наслідків, цілі.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3. Розмовна практика. Ситуативна комунікація. Продукування діалогів.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Обговорення тематичних питань.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2.прослуховування тематичних аудіо матеріалів, перегляд автентичних відеоматеріалів.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Міні-діалоги.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4. Індивідуальні тематичні презентації.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Змістовий модуль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Читання.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Вивчаюче читання. Лексичний тренінг.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«Символи та національні свята Франції».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«Політичні установи 5-ї Республіки». «Президенти Франції»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«Європейська спільнота».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« Франкофонія».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 Граматика. Граматичний тренінг.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Subjonctif .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2.Passé antérieur.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3.Futur  antérieur.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3. Розмовна практика. Ситуативна комунікація. Продукування діалогів.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Обговорення тематичних питань.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Прослуховування тематичних аудіо матеріалів.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3.Перегляд автентичних відеоматеріалів.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4.Міні-діалоги.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4. Індивідуальні тематичні презентації.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Змістовий  модуль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Професійна та дипломатична кореспонденція.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Читання.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Вивчаюче читання. Лексичний тренінг.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«Професійна кореспонденція».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«Дипломатична кореспонденція».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 Граматика. Граматичний тренінг.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Типи підрядних умовних речень.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2.Синонімічні конструкції умовним реченням.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3. Розмовна практика. Ситуативна комунікація. Продукування діалогів.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Обговорення тематичних питань.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Прослуховування тематичних аудіо матеріалів.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3.Перегляд автентичних відеоматеріалів.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4.Міні-діалоги.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4. Індивідуальні тематичні презентації.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вивчення навчальної дисципліни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тижня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теми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 організації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сім’я.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Subjonctif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сім’я.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Subjonctif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Права людини та права жінок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Subjonctif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Права людини та права жінок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Subjonctif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молодь 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Узгодження часів дійсного способу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молодь 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Узгодження часів дійсного способу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Соціальне життя Франції: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Індивідуальні тематичні презентації. Тест. Поточний контроль.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Розбір типових помилок.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Медицина у Франції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Вираження протиставлення, гіпотези, поступки, умови, причини, наслідків, цілі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Медицина у Франції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Вираження протиставлення, гіпотези, поступки, умови, причини, наслідків, цілі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Прибутки Французів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Вираження протиставлення, гіпотези, поступки, умови, причини, наслідків, цілі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Прибутки Французів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Вираження протиставлення, гіпотези, поступки, умови, причини, наслідків, цілі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 Франції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Вираження протиставлення, гіпотези, поступки, умови, причини, наслідків, цілі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ЗМІ Франції.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Індивідуальні тематичні презентації.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Захист навколишнього середовища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Робота, здоров’я та відпочинок французів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Захист навколишнього середовища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Індивідуальні тематичні презентації. Тест. Поточний контроль.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Символи та національні свята Франції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Subjonctif.  Passé antérieur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Символи та національні свята Франції.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  Passé antérieur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Політичні установи 5-ї Республіки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Subjonctif.  Passé antérieur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Політичні установи 5-ї Республіки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Futur  antérieur.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Європейська спільнота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Futur  antérieur.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Європейська спільнота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Futur  antérieur.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Франкофонія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Futur  antérieur. Розмовна практика, перегляд автентичних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Французька республіка на світовій арені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Індивідуальні тематичні презентації. Тест. Поточний контроль.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Професійна кореспонденція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Граматика:Типи підрядних умовних речень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Професійна кореспонденція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Граматика:Типи підрядних умовних речень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Професійна кореспонденція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Граматика:Типи підрядних умовних речень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Дипломатична кореспонденція.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Синонімічні конструкції умовним реченням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Дипломатична кореспонденція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Синонімічні конструкції умовним реченням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Дипломатична кореспонденція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Граматика: Синонімічні конструкції умовним реченням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Розмовна практика, перегляд автентичних матеріалів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Професійна та дипломатична кореспонденція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Індивідуальні тематичні презентації. Тест. Поточний контроль.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8. Самостійна робота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Частина тем курсу відведена для самостійного опанування, загальною кількістю 225 годин для денного відділення та 317 годин для заочного. Метою самостійної роботи є засвоєння в повному обсязі навчальної програми та послідовне формування у здобувачів вищої освіти самостійності як риси характеру, що відіграє суттєву роль у формуванні сучасного фахівця вищої кваліфікації. Проблемні питання здобувачі мають змогу обговорити з викладачем під час обов’язкових консультації, або в інший час за домовленістю з викладачем.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9. Система та критерії оцінювання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Підсумкова кількість балів виставляється як сума балів за усіма поточними формами контролю та підсумковим контролем, передбаченими робочою програмою навчальної дисципліни. Методи контролю: поточний контроль (контроль відвідування занять студентом, усне опитування, індивідуальне опитування, доповіді); рубіжний контроль (тестування за темами модуля 1, модуля 2); підсумковий контроль (екзамен – форма підсумкового контролю, яка полягає в оцінці засвоєння студентом навчального матеріалу з дисципліни та на підставі результатів виконання ним певних видів робіт на семінарських заняттях, а також завдань до екзамену). Сумарний результат - 100 балів.</w:t>
            </w:r>
          </w:p>
          <w:tbl>
            <w:tblPr>
              <w:tblStyle w:val="Table2"/>
              <w:tblW w:w="9303.999999999998" w:type="dxa"/>
              <w:jc w:val="left"/>
              <w:tblInd w:w="142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891"/>
              <w:gridCol w:w="96"/>
              <w:gridCol w:w="566"/>
              <w:gridCol w:w="229"/>
              <w:gridCol w:w="480"/>
              <w:gridCol w:w="411"/>
              <w:gridCol w:w="440"/>
              <w:gridCol w:w="451"/>
              <w:gridCol w:w="434"/>
              <w:gridCol w:w="339"/>
              <w:gridCol w:w="547"/>
              <w:gridCol w:w="226"/>
              <w:gridCol w:w="660"/>
              <w:gridCol w:w="113"/>
              <w:gridCol w:w="773"/>
              <w:gridCol w:w="1277"/>
              <w:gridCol w:w="1268"/>
              <w:gridCol w:w="103"/>
              <w:tblGridChange w:id="0">
                <w:tblGrid>
                  <w:gridCol w:w="891"/>
                  <w:gridCol w:w="96"/>
                  <w:gridCol w:w="566"/>
                  <w:gridCol w:w="229"/>
                  <w:gridCol w:w="480"/>
                  <w:gridCol w:w="411"/>
                  <w:gridCol w:w="440"/>
                  <w:gridCol w:w="451"/>
                  <w:gridCol w:w="434"/>
                  <w:gridCol w:w="339"/>
                  <w:gridCol w:w="547"/>
                  <w:gridCol w:w="226"/>
                  <w:gridCol w:w="660"/>
                  <w:gridCol w:w="113"/>
                  <w:gridCol w:w="773"/>
                  <w:gridCol w:w="1277"/>
                  <w:gridCol w:w="1268"/>
                  <w:gridCol w:w="103"/>
                </w:tblGrid>
              </w:tblGridChange>
            </w:tblGrid>
            <w:tr>
              <w:trPr>
                <w:cantSplit w:val="1"/>
                <w:trHeight w:val="461" w:hRule="atLeast"/>
                <w:tblHeader w:val="0"/>
              </w:trPr>
              <w:tc>
                <w:tcPr>
                  <w:gridSpan w:val="1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Поточне тестування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Підсумковий тест (екзамен)</w:t>
                  </w:r>
                </w:p>
              </w:tc>
              <w:tc>
                <w:tcPr>
                  <w:gridSpan w:val="2"/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Сума</w:t>
                  </w:r>
                </w:p>
              </w:tc>
            </w:tr>
            <w:tr>
              <w:trPr>
                <w:cantSplit w:val="1"/>
                <w:trHeight w:val="329" w:hRule="atLeast"/>
                <w:tblHeader w:val="0"/>
              </w:trPr>
              <w:tc>
                <w:tcPr>
                  <w:gridSpan w:val="1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Модуль 1 (1 семестр)</w:t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E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E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Змістовний модуль 1</w:t>
                  </w:r>
                </w:p>
              </w:tc>
              <w:tc>
                <w:tcPr>
                  <w:gridSpan w:val="8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Змістовний модуль 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50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Т2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Т3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Т4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Т6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Т7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1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Модуль 2 (2 семестр)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8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Змістовний модуль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Змістовний модуль 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Т1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Т2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Т3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Т4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Т6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Т8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50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Т1, Т2 ... Т10 – теми змістових модулів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Шкала оцінювання: національна та 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639.0" w:type="dxa"/>
              <w:jc w:val="left"/>
              <w:tblInd w:w="25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137"/>
              <w:gridCol w:w="1357"/>
              <w:gridCol w:w="3168"/>
              <w:gridCol w:w="2977"/>
              <w:tblGridChange w:id="0">
                <w:tblGrid>
                  <w:gridCol w:w="2137"/>
                  <w:gridCol w:w="1357"/>
                  <w:gridCol w:w="3168"/>
                  <w:gridCol w:w="2977"/>
                </w:tblGrid>
              </w:tblGridChange>
            </w:tblGrid>
            <w:tr>
              <w:trPr>
                <w:cantSplit w:val="1"/>
                <w:trHeight w:val="450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Сума балів за всі види навчальної діяльності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Оцінка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ECTS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Оцінка за національною шкалою</w:t>
                  </w:r>
                </w:p>
              </w:tc>
            </w:tr>
            <w:tr>
              <w:trPr>
                <w:cantSplit w:val="1"/>
                <w:trHeight w:val="450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144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для екзамену, курсового проекту (роботи), практики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для заліку</w:t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90 – 100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відмінно  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зараховано</w:t>
                  </w:r>
                </w:p>
              </w:tc>
            </w:tr>
            <w:tr>
              <w:trPr>
                <w:cantSplit w:val="1"/>
                <w:trHeight w:val="19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85-89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добре </w:t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75-84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С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70-74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задовільно </w:t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60-69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35-59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FX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незадовільно з можливістю повторного складання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не зараховано з можливістю повторного складання</w:t>
                  </w:r>
                </w:p>
              </w:tc>
            </w:tr>
            <w:tr>
              <w:trPr>
                <w:cantSplit w:val="0"/>
                <w:trHeight w:val="73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8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1-34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незадовільно з обов’язковим повторним вивченням дисципліни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2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не зараховано з обов’язковим повторним вивченням дисципліни</w:t>
                  </w:r>
                </w:p>
              </w:tc>
            </w:tr>
          </w:tbl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 знань здобувачів вищої освіти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заочного відділення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здійснюється шляхом виконання та подальшого захисту контрольної роботи у вигляді відповідей на питання, що стосуються змісту роботи. Перелік питань до контрольної роботи можна знайти в системі дистанційного навчання НУ «Запорізька політехніка»: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https://moodle.zp.edu.ua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та у методичних вказівках до виконання контрольної роботи з дисципліни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"Міжнародні економічні інституції"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293">
            <w:pPr>
              <w:keepNext w:val="1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Політика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Загальна політика курсу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базується на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132" w:firstLine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Статут НУ «ЗП» (2022 р.) - [URL] https://zp.edu.ua/uploads/Statut-ZPNU.pdf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Положенні про систему забезпечення НУ «Запорізька політехніка» якості освітньої діяльності та якості вищої освіти (системи внутрішнього забезпечення якості)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[URL]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http://www.zntu.edu.ua/uploads/dept_nm/Polozhennia_pro_zabezpechennia_yakosti.pdf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Політика щодо дедлайнів.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Здобувач вищої освіти зобов’язаний дотримуватись термінів, до яких має бути виконано певне завдання.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Політика щодо академічної доброчесності.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Дотримання академічної доброчесності передбачає: самостійне виконання навчальних завдань, дотримання норм законодавства про авторське право 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інформації; використання достовірної інформації з офіційних джерел при виконанні проектних завдань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Політика дотримання прав та обов’язків здобувачів вищої освіти.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Права і обов’язки с здобувачів вищої освіти відображено у п .7.5 Положення про організацію освітнього процесу в НУ «Запорізька політехніка»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35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(https://zp.edu.ua/uploads/dept_nm/Polozhennia_pro_organizatsiyu_osvitnoho_protsesu.pdf).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Політика конфіденційності та захисту персональних даних.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Обмін персональними даними між викладачем і здобувачем вищої освіти, їх використання відбувається на основі закону України «Про захист персональних даних» (https://zakon.rada.gov.ua/laws/show/2297-17#Text). Стаття 10, п. 3 «Використання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ET" w:hAnsi="TimesET"/>
      <w:i w:val="1"/>
      <w:i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="600" w:firstLineChars="-1"/>
      <w:jc w:val="center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0" w:line="240" w:lineRule="auto"/>
      <w:ind w:leftChars="-1" w:rightChars="0" w:firstLineChars="-1"/>
      <w:textDirection w:val="btLr"/>
      <w:textAlignment w:val="top"/>
      <w:outlineLvl w:val="7"/>
    </w:pPr>
    <w:rPr>
      <w:rFonts w:ascii="TimesET" w:hAnsi="TimesET"/>
      <w:w w:val="100"/>
      <w:position w:val="-1"/>
      <w:sz w:val="28"/>
      <w:szCs w:val="20"/>
      <w:effect w:val="none"/>
      <w:vertAlign w:val="baseline"/>
      <w:cs w:val="0"/>
      <w:em w:val="none"/>
      <w:lang w:bidi="ar-SA" w:eastAsia="ru-RU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TimesET" w:hAnsi="TimesET"/>
      <w:i w:val="1"/>
      <w:iCs w:val="1"/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Заголовок4Знак">
    <w:name w:val="Заголовок 4 Знак"/>
    <w:next w:val="Заголовок4Знак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Заголовок8Знак">
    <w:name w:val="Заголовок 8 Знак"/>
    <w:next w:val="Заголовок8Знак"/>
    <w:autoRedefine w:val="0"/>
    <w:hidden w:val="0"/>
    <w:qFormat w:val="0"/>
    <w:rPr>
      <w:rFonts w:ascii="TimesET" w:hAnsi="TimesET"/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FR2">
    <w:name w:val="FR2"/>
    <w:next w:val="FR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before="220" w:line="1" w:lineRule="atLeast"/>
      <w:ind w:left="40" w:leftChars="-1" w:rightChars="0" w:hanging="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uk-UA" w:val="uk-UA"/>
    </w:rPr>
  </w:style>
  <w:style w:type="character" w:styleId="FontStyle32">
    <w:name w:val="Font Style32"/>
    <w:next w:val="FontStyle32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1"/>
    <w:pPr>
      <w:suppressAutoHyphens w:val="1"/>
      <w:spacing w:after="120" w:line="24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сотступом3Знак">
    <w:name w:val="Основной текст с отступом 3 Знак"/>
    <w:next w:val="Основнойтекстсотступом3Знак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текстсотступом2Знак">
    <w:name w:val="Основной текст с отступом 2 Знак"/>
    <w:next w:val="Основнойтекстсотступом2Знак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Заголовок7Знак">
    <w:name w:val="Заголовок 7 Знак"/>
    <w:next w:val="Заголовок7Знак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rFonts w:ascii="Times New Roman" w:cs="Times New Roman" w:hAnsi="Times New Roman" w:hint="default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1"/>
    <w:pP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3Знак">
    <w:name w:val="Основной текст 3 Знак"/>
    <w:next w:val="Основнойтекст3Знак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1">
    <w:name w:val="Текст выноски Знак1"/>
    <w:next w:val="ТекствыноскиЗнак1"/>
    <w:autoRedefine w:val="0"/>
    <w:hidden w:val="0"/>
    <w:qFormat w:val="0"/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Style21">
    <w:name w:val="Style21"/>
    <w:basedOn w:val="Обычный"/>
    <w:next w:val="Style2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69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yle22">
    <w:name w:val="Style22"/>
    <w:basedOn w:val="Обычный"/>
    <w:next w:val="Style2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54" w:lineRule="atLeast"/>
      <w:ind w:leftChars="-1" w:rightChars="0" w:hanging="35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yle23">
    <w:name w:val="Style23"/>
    <w:basedOn w:val="Обычный"/>
    <w:next w:val="Style23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74" w:lineRule="atLeast"/>
      <w:ind w:leftChars="-1" w:rightChars="0" w:firstLine="355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yle19">
    <w:name w:val="Style19"/>
    <w:basedOn w:val="Обычный"/>
    <w:next w:val="Style19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yle2">
    <w:name w:val="Style2"/>
    <w:basedOn w:val="Обычный"/>
    <w:next w:val="Style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31" w:lineRule="atLeast"/>
      <w:ind w:leftChars="-1" w:rightChars="0" w:firstLine="472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next w:val="Номерстраницы"/>
    <w:autoRedefine w:val="0"/>
    <w:hidden w:val="0"/>
    <w:qFormat w:val="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Style33">
    <w:name w:val="Font Style33"/>
    <w:next w:val="FontStyle33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6"/>
      <w:effect w:val="none"/>
      <w:vertAlign w:val="baseline"/>
      <w:cs w:val="0"/>
      <w:em w:val="none"/>
      <w:lang/>
    </w:rPr>
  </w:style>
  <w:style w:type="paragraph" w:styleId="Абзацсписка2">
    <w:name w:val="Абзац списка2"/>
    <w:basedOn w:val="Обычный"/>
    <w:next w:val="Абзацсписка2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msonormalcxspmiddle">
    <w:name w:val="msonormalcxspmiddle"/>
    <w:basedOn w:val="Обычный"/>
    <w:next w:val="msonormalcxspmiddle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odle.zp.edu.ua/" TargetMode="External"/><Relationship Id="rId8" Type="http://schemas.openxmlformats.org/officeDocument/2006/relationships/hyperlink" Target="http://www.zntu.edu.ua/uploads/dept_nm/Polozhennia_pro_zabezpechennia_yakosti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fm7iQmfh3/G/gFn74uFumlE9Q==">CgMxLjAaHwoBMBIaChgIB0IUCgtBcmlhbCBCbGFjaxIFQXJpYWwyCGguZ2pkZ3hzOAByITFCZU1MSzM0a0VUSXNnTXZ3aGhaN3JOdHg5V05oUF94Yw==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2023-02-14T20:54:00Z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