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CC" w:rsidRPr="00BA532A" w:rsidRDefault="00784CCC" w:rsidP="00784CCC">
      <w:pPr>
        <w:spacing w:line="240" w:lineRule="auto"/>
        <w:ind w:firstLine="709"/>
        <w:jc w:val="center"/>
        <w:rPr>
          <w:rFonts w:ascii="Times New Roman" w:eastAsia="Calibri" w:hAnsi="Times New Roman" w:cs="Times New Roman"/>
          <w:b/>
          <w:sz w:val="28"/>
          <w:szCs w:val="28"/>
          <w:lang w:val="uk-UA"/>
        </w:rPr>
      </w:pPr>
      <w:bookmarkStart w:id="0" w:name="_GoBack"/>
      <w:r w:rsidRPr="00BA532A">
        <w:rPr>
          <w:rFonts w:ascii="Times New Roman" w:eastAsia="Calibri" w:hAnsi="Times New Roman" w:cs="Times New Roman"/>
          <w:b/>
          <w:sz w:val="28"/>
          <w:szCs w:val="28"/>
          <w:lang w:val="uk-UA"/>
        </w:rPr>
        <w:t>Розділ. Військово-технічна і військово-спеціальна підготовка</w:t>
      </w:r>
    </w:p>
    <w:p w:rsidR="00784CCC" w:rsidRPr="00BA532A" w:rsidRDefault="00784CCC" w:rsidP="00784CCC">
      <w:pPr>
        <w:spacing w:line="240" w:lineRule="auto"/>
        <w:ind w:firstLine="709"/>
        <w:jc w:val="center"/>
        <w:rPr>
          <w:rFonts w:ascii="Times New Roman" w:eastAsia="Calibri" w:hAnsi="Times New Roman" w:cs="Times New Roman"/>
          <w:b/>
          <w:sz w:val="28"/>
          <w:szCs w:val="28"/>
          <w:lang w:val="uk-UA"/>
        </w:rPr>
      </w:pPr>
      <w:r w:rsidRPr="00BA532A">
        <w:rPr>
          <w:rFonts w:ascii="Times New Roman" w:eastAsia="Calibri" w:hAnsi="Times New Roman" w:cs="Times New Roman"/>
          <w:b/>
          <w:sz w:val="28"/>
          <w:szCs w:val="28"/>
          <w:lang w:val="uk-UA"/>
        </w:rPr>
        <w:t>МОДУЛЬ  ВП 13</w:t>
      </w:r>
    </w:p>
    <w:p w:rsidR="00784CCC" w:rsidRPr="00BA532A" w:rsidRDefault="00784CCC" w:rsidP="00784CCC">
      <w:pPr>
        <w:spacing w:line="240" w:lineRule="auto"/>
        <w:jc w:val="center"/>
        <w:rPr>
          <w:rFonts w:ascii="Times New Roman" w:eastAsia="Calibri" w:hAnsi="Times New Roman" w:cs="Times New Roman"/>
          <w:b/>
          <w:sz w:val="28"/>
          <w:szCs w:val="28"/>
          <w:lang w:val="uk-UA"/>
        </w:rPr>
      </w:pPr>
      <w:r w:rsidRPr="00BA532A">
        <w:rPr>
          <w:rFonts w:ascii="Times New Roman" w:eastAsia="Calibri" w:hAnsi="Times New Roman" w:cs="Times New Roman"/>
          <w:b/>
          <w:sz w:val="28"/>
          <w:szCs w:val="28"/>
          <w:lang w:val="uk-UA"/>
        </w:rPr>
        <w:t>“Військово-технічна підготовка”</w:t>
      </w:r>
    </w:p>
    <w:p w:rsidR="00BA532A" w:rsidRPr="00BA532A" w:rsidRDefault="00BA532A" w:rsidP="00BA532A">
      <w:pPr>
        <w:spacing w:after="0" w:line="240" w:lineRule="auto"/>
        <w:ind w:firstLine="709"/>
        <w:jc w:val="center"/>
        <w:rPr>
          <w:rFonts w:ascii="Times New Roman" w:hAnsi="Times New Roman" w:cs="Times New Roman"/>
          <w:b/>
          <w:spacing w:val="-4"/>
          <w:sz w:val="28"/>
          <w:szCs w:val="28"/>
          <w:lang w:val="uk-UA"/>
        </w:rPr>
      </w:pPr>
      <w:r w:rsidRPr="00BA532A">
        <w:rPr>
          <w:rFonts w:ascii="Times New Roman" w:hAnsi="Times New Roman" w:cs="Times New Roman"/>
          <w:b/>
          <w:bCs/>
          <w:spacing w:val="-4"/>
          <w:sz w:val="28"/>
          <w:szCs w:val="28"/>
          <w:lang w:val="uk-UA"/>
        </w:rPr>
        <w:t>79 годин</w:t>
      </w:r>
    </w:p>
    <w:p w:rsidR="00BA532A" w:rsidRPr="00BA532A" w:rsidRDefault="00BA532A" w:rsidP="00784CCC">
      <w:pPr>
        <w:spacing w:line="240" w:lineRule="auto"/>
        <w:jc w:val="center"/>
        <w:rPr>
          <w:rFonts w:ascii="Times New Roman" w:eastAsia="Calibri" w:hAnsi="Times New Roman" w:cs="Times New Roman"/>
          <w:b/>
          <w:sz w:val="28"/>
          <w:szCs w:val="28"/>
          <w:lang w:val="uk-UA"/>
        </w:rPr>
      </w:pPr>
    </w:p>
    <w:p w:rsidR="00784CCC" w:rsidRPr="00BA532A" w:rsidRDefault="00784CCC" w:rsidP="00784CCC">
      <w:pPr>
        <w:spacing w:after="0" w:line="240" w:lineRule="auto"/>
        <w:rPr>
          <w:rFonts w:ascii="Times New Roman" w:eastAsia="Calibri" w:hAnsi="Times New Roman" w:cs="Times New Roman"/>
          <w:b/>
          <w:sz w:val="28"/>
          <w:szCs w:val="28"/>
          <w:lang w:val="uk-UA"/>
        </w:rPr>
      </w:pPr>
      <w:r w:rsidRPr="00BA532A">
        <w:rPr>
          <w:rFonts w:ascii="Times New Roman" w:eastAsia="Calibri" w:hAnsi="Times New Roman" w:cs="Times New Roman"/>
          <w:b/>
          <w:sz w:val="28"/>
          <w:szCs w:val="28"/>
          <w:lang w:val="uk-UA"/>
        </w:rPr>
        <w:t>Завдання навчання</w:t>
      </w:r>
    </w:p>
    <w:p w:rsidR="00784CCC" w:rsidRPr="00BA532A" w:rsidRDefault="00784CCC" w:rsidP="00784CCC">
      <w:pPr>
        <w:spacing w:after="0" w:line="240" w:lineRule="auto"/>
        <w:jc w:val="center"/>
        <w:rPr>
          <w:rFonts w:ascii="Times New Roman" w:eastAsia="Calibri" w:hAnsi="Times New Roman" w:cs="Times New Roman"/>
          <w:b/>
          <w:sz w:val="28"/>
          <w:szCs w:val="28"/>
          <w:lang w:val="uk-UA"/>
        </w:rPr>
      </w:pPr>
    </w:p>
    <w:p w:rsidR="00784CCC" w:rsidRPr="00BA532A" w:rsidRDefault="00784CCC" w:rsidP="00784CCC">
      <w:pPr>
        <w:spacing w:after="0" w:line="240" w:lineRule="auto"/>
        <w:ind w:firstLine="720"/>
        <w:jc w:val="both"/>
        <w:rPr>
          <w:rFonts w:ascii="Times New Roman" w:eastAsia="Times New Roman" w:hAnsi="Times New Roman" w:cs="Times New Roman"/>
          <w:sz w:val="28"/>
          <w:szCs w:val="28"/>
          <w:lang w:val="uk-UA" w:eastAsia="ru-RU"/>
        </w:rPr>
      </w:pPr>
      <w:r w:rsidRPr="00BA532A">
        <w:rPr>
          <w:rFonts w:ascii="Times New Roman" w:eastAsia="Times New Roman" w:hAnsi="Times New Roman" w:cs="Times New Roman"/>
          <w:sz w:val="28"/>
          <w:szCs w:val="28"/>
          <w:lang w:val="uk-UA" w:eastAsia="ru-RU"/>
        </w:rPr>
        <w:t>Навчити громадян основам будови стрілецької зброї та  засобів ближнього бою, артилерійського озброєння та боєприпасів; сформувати у них практичні навички у правильному поводженні зі стрілецькою зброєю та  засобами ближнього бою, артилерійським озброєнням, боєприпасами; розвивати у тих, хто навчається, організаційні здібності щодо організації правильної експлуатації стрілецької зброї та  засобів ближнього бою, артилерійського озброєння, боєприпасів.</w:t>
      </w:r>
    </w:p>
    <w:p w:rsidR="00784CCC" w:rsidRPr="00BA532A" w:rsidRDefault="00784CCC" w:rsidP="00784CCC">
      <w:pPr>
        <w:spacing w:after="0" w:line="240" w:lineRule="auto"/>
        <w:ind w:firstLine="720"/>
        <w:jc w:val="both"/>
        <w:rPr>
          <w:rFonts w:ascii="Times New Roman" w:eastAsia="Times New Roman" w:hAnsi="Times New Roman" w:cs="Times New Roman"/>
          <w:sz w:val="28"/>
          <w:szCs w:val="28"/>
          <w:lang w:val="uk-UA" w:eastAsia="ru-RU"/>
        </w:rPr>
      </w:pPr>
      <w:r w:rsidRPr="00BA532A">
        <w:rPr>
          <w:rFonts w:ascii="Times New Roman" w:eastAsia="Times New Roman" w:hAnsi="Times New Roman" w:cs="Times New Roman"/>
          <w:sz w:val="28"/>
          <w:szCs w:val="28"/>
          <w:lang w:val="uk-UA" w:eastAsia="ru-RU"/>
        </w:rPr>
        <w:t>В результаті вивчення модуля громадяни повинні</w:t>
      </w:r>
    </w:p>
    <w:p w:rsidR="00784CCC" w:rsidRPr="00BA532A" w:rsidRDefault="00784CCC" w:rsidP="00784CCC">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784CCC" w:rsidRPr="00BA532A" w:rsidRDefault="00784CCC" w:rsidP="00784CCC">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ЗНАТИ:</w:t>
      </w:r>
    </w:p>
    <w:p w:rsidR="00784CCC" w:rsidRPr="00BA532A" w:rsidRDefault="00784CCC" w:rsidP="00784CCC">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784CCC" w:rsidRPr="00BA532A" w:rsidRDefault="00784CCC" w:rsidP="00784CCC">
      <w:pPr>
        <w:spacing w:after="0" w:line="240" w:lineRule="auto"/>
        <w:ind w:firstLine="567"/>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1. Призначення, класифікацію, тактико-технічні характеристики артилерійського озброєння, стрілецької зброї та  засобів ближнього бою. Заходи та правила безпеки під час роботи з озброєнням. </w:t>
      </w:r>
    </w:p>
    <w:p w:rsidR="00784CCC" w:rsidRPr="00BA532A" w:rsidRDefault="00784CCC" w:rsidP="00784CCC">
      <w:pPr>
        <w:spacing w:after="0" w:line="240" w:lineRule="auto"/>
        <w:ind w:firstLine="567"/>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2.  Фізичну сутність процесів, які відбуваються в частинах, вузлах і механізмах артилерійського озброєння, стрілецької зброї та  засобів ближнього бою.</w:t>
      </w:r>
    </w:p>
    <w:p w:rsidR="00784CCC" w:rsidRPr="00BA532A" w:rsidRDefault="00784CCC" w:rsidP="00784CCC">
      <w:pPr>
        <w:spacing w:after="0" w:line="240" w:lineRule="auto"/>
        <w:ind w:firstLine="567"/>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3. Призначення, класифікацію, характеристики вибухових речовин та боєприпасів. </w:t>
      </w:r>
    </w:p>
    <w:p w:rsidR="00784CCC" w:rsidRPr="00BA532A" w:rsidRDefault="00784CCC" w:rsidP="00784CCC">
      <w:pPr>
        <w:spacing w:after="0" w:line="240" w:lineRule="auto"/>
        <w:ind w:firstLine="567"/>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4.  Фізичну сутність процесів, які відбуваються при пострілі та при приведенні в дію боєприпасів.</w:t>
      </w:r>
    </w:p>
    <w:p w:rsidR="00784CCC" w:rsidRPr="00BA532A" w:rsidRDefault="00784CCC" w:rsidP="00784CCC">
      <w:pPr>
        <w:spacing w:after="0" w:line="240" w:lineRule="auto"/>
        <w:ind w:firstLine="567"/>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5. Заходи та правила безпеки під час роботи з вибуховими речовинами та боєприпасами.</w:t>
      </w:r>
    </w:p>
    <w:p w:rsidR="00784CCC" w:rsidRPr="00BA532A" w:rsidRDefault="00784CCC" w:rsidP="00784CCC">
      <w:pPr>
        <w:spacing w:after="0" w:line="240" w:lineRule="auto"/>
        <w:ind w:firstLine="567"/>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6. Призначення, склад та можливості засобів технічного обслуговування (технічного огляду) та ремонту озброєння та боєприпасів.</w:t>
      </w:r>
    </w:p>
    <w:p w:rsidR="00784CCC" w:rsidRPr="00BA532A" w:rsidRDefault="00784CCC" w:rsidP="00784CCC">
      <w:pPr>
        <w:widowControl w:val="0"/>
        <w:tabs>
          <w:tab w:val="left" w:pos="708"/>
          <w:tab w:val="right" w:pos="8640"/>
        </w:tabs>
        <w:spacing w:after="0" w:line="240" w:lineRule="auto"/>
        <w:ind w:firstLine="567"/>
        <w:jc w:val="center"/>
        <w:rPr>
          <w:rFonts w:ascii="Times New Roman" w:eastAsia="Times New Roman" w:hAnsi="Times New Roman" w:cs="Times New Roman"/>
          <w:snapToGrid w:val="0"/>
          <w:sz w:val="28"/>
          <w:szCs w:val="28"/>
          <w:lang w:val="uk-UA" w:eastAsia="ru-RU"/>
        </w:rPr>
      </w:pPr>
    </w:p>
    <w:p w:rsidR="00784CCC" w:rsidRPr="00BA532A" w:rsidRDefault="00784CCC" w:rsidP="00784CCC">
      <w:pPr>
        <w:widowControl w:val="0"/>
        <w:tabs>
          <w:tab w:val="left" w:pos="708"/>
          <w:tab w:val="right" w:pos="8640"/>
        </w:tabs>
        <w:spacing w:after="0" w:line="240" w:lineRule="auto"/>
        <w:ind w:firstLine="567"/>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ВМІТИ:</w:t>
      </w:r>
    </w:p>
    <w:p w:rsidR="00784CCC" w:rsidRPr="00BA532A" w:rsidRDefault="00784CCC" w:rsidP="00784CCC">
      <w:pPr>
        <w:widowControl w:val="0"/>
        <w:tabs>
          <w:tab w:val="left" w:pos="708"/>
          <w:tab w:val="right" w:pos="8640"/>
        </w:tabs>
        <w:spacing w:after="0" w:line="240" w:lineRule="auto"/>
        <w:ind w:firstLine="567"/>
        <w:jc w:val="center"/>
        <w:rPr>
          <w:rFonts w:ascii="Times New Roman" w:eastAsia="Times New Roman" w:hAnsi="Times New Roman" w:cs="Times New Roman"/>
          <w:snapToGrid w:val="0"/>
          <w:sz w:val="28"/>
          <w:szCs w:val="28"/>
          <w:lang w:val="uk-UA" w:eastAsia="ru-RU"/>
        </w:rPr>
      </w:pPr>
    </w:p>
    <w:p w:rsidR="00784CCC" w:rsidRPr="00BA532A" w:rsidRDefault="00784CCC" w:rsidP="00784CCC">
      <w:pPr>
        <w:widowControl w:val="0"/>
        <w:tabs>
          <w:tab w:val="left" w:pos="-3686"/>
          <w:tab w:val="right" w:pos="8640"/>
        </w:tabs>
        <w:spacing w:after="0" w:line="240" w:lineRule="auto"/>
        <w:ind w:firstLine="567"/>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1. Використовувати нормативно-технічну документацію щодо здійснення правильної експлуатації, обслуговування та зберігання артилерійського озброєння, стрілецької зброї та  засобів ближнього бою, приладів.</w:t>
      </w:r>
    </w:p>
    <w:p w:rsidR="00784CCC" w:rsidRPr="00BA532A" w:rsidRDefault="00784CCC" w:rsidP="00784CCC">
      <w:pPr>
        <w:widowControl w:val="0"/>
        <w:tabs>
          <w:tab w:val="left" w:pos="-3686"/>
          <w:tab w:val="right" w:pos="8640"/>
        </w:tabs>
        <w:spacing w:after="0" w:line="240" w:lineRule="auto"/>
        <w:ind w:firstLine="567"/>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2. Використовувати нормативно-технічну документацію щодо здійснення правильної експлуатації, обслуговування та зберігання вибухових речовин, боєприпасів.</w:t>
      </w:r>
    </w:p>
    <w:p w:rsidR="00784CCC" w:rsidRPr="00BA532A" w:rsidRDefault="00784CCC" w:rsidP="00784CCC">
      <w:pPr>
        <w:widowControl w:val="0"/>
        <w:tabs>
          <w:tab w:val="left" w:pos="-3686"/>
          <w:tab w:val="right" w:pos="8640"/>
        </w:tabs>
        <w:spacing w:after="0" w:line="240" w:lineRule="auto"/>
        <w:ind w:firstLine="567"/>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lastRenderedPageBreak/>
        <w:t>3. Використовувати нормативно-технічну документацію щодо здійснення правильної експлуатації, обслуговування і зберігання засобів технічного обслуговування (технічного огляду) та ремонту озброєння та боєприпасів.</w:t>
      </w:r>
    </w:p>
    <w:p w:rsidR="00784CCC" w:rsidRPr="00BA532A" w:rsidRDefault="00784CCC" w:rsidP="00784CCC">
      <w:pPr>
        <w:widowControl w:val="0"/>
        <w:tabs>
          <w:tab w:val="left" w:pos="-3686"/>
          <w:tab w:val="right" w:pos="8640"/>
        </w:tabs>
        <w:spacing w:after="0" w:line="240" w:lineRule="auto"/>
        <w:ind w:firstLine="567"/>
        <w:jc w:val="both"/>
        <w:rPr>
          <w:rFonts w:ascii="Times New Roman" w:eastAsia="Times New Roman" w:hAnsi="Times New Roman" w:cs="Times New Roman"/>
          <w:spacing w:val="-2"/>
          <w:sz w:val="28"/>
          <w:szCs w:val="28"/>
          <w:lang w:val="uk-UA" w:eastAsia="ru-RU"/>
        </w:rPr>
      </w:pPr>
      <w:r w:rsidRPr="00BA532A">
        <w:rPr>
          <w:rFonts w:ascii="Times New Roman" w:eastAsia="Times New Roman" w:hAnsi="Times New Roman" w:cs="Times New Roman"/>
          <w:snapToGrid w:val="0"/>
          <w:sz w:val="28"/>
          <w:szCs w:val="28"/>
          <w:lang w:val="uk-UA" w:eastAsia="ru-RU"/>
        </w:rPr>
        <w:t>4. Самостійно освоювати нові зразки боєприпасів, артилерійського озброєння стрілецької зброї та  засобів ближнього бою, їх бойове застосування та експлуатацію.</w:t>
      </w:r>
    </w:p>
    <w:p w:rsidR="00784CCC" w:rsidRPr="00BA532A" w:rsidRDefault="00784CCC" w:rsidP="00784CCC">
      <w:pPr>
        <w:widowControl w:val="0"/>
        <w:tabs>
          <w:tab w:val="left" w:pos="-3686"/>
          <w:tab w:val="right" w:pos="8640"/>
        </w:tabs>
        <w:spacing w:after="0" w:line="240" w:lineRule="auto"/>
        <w:ind w:firstLine="567"/>
        <w:jc w:val="both"/>
        <w:rPr>
          <w:rFonts w:ascii="Times New Roman" w:eastAsia="Times New Roman" w:hAnsi="Times New Roman" w:cs="Times New Roman"/>
          <w:snapToGrid w:val="0"/>
          <w:sz w:val="28"/>
          <w:szCs w:val="28"/>
          <w:lang w:val="uk-UA" w:eastAsia="ru-RU"/>
        </w:rPr>
      </w:pPr>
    </w:p>
    <w:p w:rsidR="00784CCC" w:rsidRPr="00BA532A" w:rsidRDefault="00784CCC" w:rsidP="00784CCC">
      <w:pPr>
        <w:spacing w:after="0" w:line="240" w:lineRule="auto"/>
        <w:ind w:firstLine="540"/>
        <w:jc w:val="both"/>
        <w:rPr>
          <w:rFonts w:ascii="Times New Roman" w:eastAsia="Calibri" w:hAnsi="Times New Roman" w:cs="Times New Roman"/>
          <w:snapToGrid w:val="0"/>
          <w:sz w:val="28"/>
          <w:szCs w:val="28"/>
          <w:lang w:val="uk-UA"/>
        </w:rPr>
      </w:pPr>
      <w:r w:rsidRPr="00BA532A">
        <w:rPr>
          <w:rFonts w:ascii="Times New Roman" w:eastAsia="Calibri" w:hAnsi="Times New Roman" w:cs="Times New Roman"/>
          <w:snapToGrid w:val="0"/>
          <w:sz w:val="28"/>
          <w:szCs w:val="28"/>
          <w:lang w:val="uk-UA"/>
        </w:rPr>
        <w:t xml:space="preserve">В результаті отриманих знань, вмінь і практичних навичок з модуля </w:t>
      </w:r>
      <w:r w:rsidRPr="00BA532A">
        <w:rPr>
          <w:rFonts w:ascii="Times New Roman" w:eastAsia="Calibri" w:hAnsi="Times New Roman" w:cs="Times New Roman"/>
          <w:bCs/>
          <w:sz w:val="28"/>
          <w:szCs w:val="28"/>
          <w:lang w:val="uk-UA"/>
        </w:rPr>
        <w:t>“</w:t>
      </w:r>
      <w:r w:rsidRPr="00BA532A">
        <w:rPr>
          <w:rFonts w:ascii="Times New Roman" w:eastAsia="Calibri" w:hAnsi="Times New Roman" w:cs="Times New Roman"/>
          <w:bCs/>
          <w:iCs/>
          <w:sz w:val="28"/>
          <w:szCs w:val="28"/>
          <w:lang w:val="uk-UA"/>
        </w:rPr>
        <w:t>Військово-технічна підготовка</w:t>
      </w:r>
      <w:r w:rsidRPr="00BA532A">
        <w:rPr>
          <w:rFonts w:ascii="Times New Roman" w:eastAsia="Calibri" w:hAnsi="Times New Roman" w:cs="Times New Roman"/>
          <w:bCs/>
          <w:sz w:val="28"/>
          <w:szCs w:val="28"/>
          <w:lang w:val="uk-UA"/>
        </w:rPr>
        <w:t>”</w:t>
      </w:r>
      <w:r w:rsidRPr="00BA532A">
        <w:rPr>
          <w:rFonts w:ascii="Times New Roman" w:eastAsia="Calibri" w:hAnsi="Times New Roman" w:cs="Times New Roman"/>
          <w:sz w:val="28"/>
          <w:szCs w:val="28"/>
          <w:lang w:val="uk-UA"/>
        </w:rPr>
        <w:t xml:space="preserve"> громадяни, які проходять військову підготовку, повинні володіти наступною професійною компетенцією:</w:t>
      </w:r>
    </w:p>
    <w:p w:rsidR="00784CCC" w:rsidRPr="00BA532A" w:rsidRDefault="00784CCC" w:rsidP="00784CCC">
      <w:pPr>
        <w:spacing w:after="0" w:line="240" w:lineRule="auto"/>
        <w:ind w:firstLine="540"/>
        <w:jc w:val="both"/>
        <w:rPr>
          <w:rFonts w:ascii="Times New Roman" w:eastAsia="Calibri" w:hAnsi="Times New Roman" w:cs="Times New Roman"/>
          <w:bCs/>
          <w:color w:val="000000"/>
          <w:sz w:val="28"/>
          <w:szCs w:val="28"/>
          <w:lang w:val="uk-UA"/>
        </w:rPr>
      </w:pPr>
      <w:r w:rsidRPr="00BA532A">
        <w:rPr>
          <w:rFonts w:ascii="Times New Roman" w:eastAsia="Calibri" w:hAnsi="Times New Roman" w:cs="Times New Roman"/>
          <w:sz w:val="28"/>
          <w:szCs w:val="28"/>
          <w:lang w:val="uk-UA"/>
        </w:rPr>
        <w:t xml:space="preserve">здатність використовувати знання з будови артилерійського озброєння, стрілецької зброї, засобів ближнього бою та боєприпасів для здійснення заходів щодо підтримання озброєння та боєприпасів у справному стані, удосконалення навичок у поводженні з озброєнням та боєприпасами та  підготовки їх до бойового застосування (КСП.13). </w:t>
      </w:r>
    </w:p>
    <w:p w:rsidR="00784CCC" w:rsidRPr="00BA532A" w:rsidRDefault="00784CCC" w:rsidP="00784CCC">
      <w:pPr>
        <w:spacing w:after="0" w:line="240" w:lineRule="auto"/>
        <w:jc w:val="center"/>
        <w:rPr>
          <w:rFonts w:ascii="Times New Roman" w:eastAsia="Calibri" w:hAnsi="Times New Roman" w:cs="Times New Roman"/>
          <w:b/>
          <w:sz w:val="28"/>
          <w:szCs w:val="28"/>
          <w:lang w:val="uk-UA"/>
        </w:rPr>
      </w:pPr>
    </w:p>
    <w:p w:rsidR="00784CCC" w:rsidRPr="00BA532A" w:rsidRDefault="00784CCC" w:rsidP="00784CCC">
      <w:pPr>
        <w:spacing w:after="0" w:line="240" w:lineRule="auto"/>
        <w:jc w:val="center"/>
        <w:rPr>
          <w:rFonts w:ascii="Times New Roman" w:eastAsia="Calibri" w:hAnsi="Times New Roman" w:cs="Times New Roman"/>
          <w:b/>
          <w:sz w:val="28"/>
          <w:szCs w:val="28"/>
          <w:lang w:val="uk-UA"/>
        </w:rPr>
      </w:pPr>
    </w:p>
    <w:p w:rsidR="00784CCC" w:rsidRPr="00BA532A" w:rsidRDefault="00784CCC" w:rsidP="00784CCC">
      <w:pPr>
        <w:spacing w:after="0" w:line="240" w:lineRule="auto"/>
        <w:rPr>
          <w:rFonts w:ascii="Times New Roman" w:eastAsia="Calibri" w:hAnsi="Times New Roman" w:cs="Times New Roman"/>
          <w:b/>
          <w:sz w:val="28"/>
          <w:szCs w:val="28"/>
          <w:lang w:val="uk-UA"/>
        </w:rPr>
      </w:pPr>
      <w:r w:rsidRPr="00BA532A">
        <w:rPr>
          <w:rFonts w:ascii="Times New Roman" w:eastAsia="Calibri" w:hAnsi="Times New Roman" w:cs="Times New Roman"/>
          <w:b/>
          <w:sz w:val="28"/>
          <w:szCs w:val="28"/>
          <w:lang w:val="uk-UA"/>
        </w:rPr>
        <w:t>Методичні вказівки</w:t>
      </w:r>
    </w:p>
    <w:p w:rsidR="00784CCC" w:rsidRPr="00BA532A" w:rsidRDefault="00784CCC" w:rsidP="00784CCC">
      <w:pPr>
        <w:spacing w:after="0" w:line="240" w:lineRule="auto"/>
        <w:jc w:val="both"/>
        <w:rPr>
          <w:rFonts w:ascii="Times New Roman" w:eastAsia="Calibri" w:hAnsi="Times New Roman" w:cs="Times New Roman"/>
          <w:sz w:val="28"/>
          <w:szCs w:val="28"/>
          <w:lang w:val="uk-UA"/>
        </w:rPr>
      </w:pPr>
      <w:r w:rsidRPr="00BA532A">
        <w:rPr>
          <w:rFonts w:ascii="Times New Roman" w:eastAsia="Calibri" w:hAnsi="Times New Roman" w:cs="Times New Roman"/>
          <w:b/>
          <w:sz w:val="28"/>
          <w:szCs w:val="28"/>
          <w:lang w:val="uk-UA"/>
        </w:rPr>
        <w:tab/>
      </w:r>
      <w:r w:rsidRPr="00BA532A">
        <w:rPr>
          <w:rFonts w:ascii="Times New Roman" w:eastAsia="Calibri" w:hAnsi="Times New Roman" w:cs="Times New Roman"/>
          <w:sz w:val="28"/>
          <w:szCs w:val="28"/>
          <w:lang w:val="uk-UA"/>
        </w:rPr>
        <w:t>1.</w:t>
      </w:r>
      <w:r w:rsidRPr="00BA532A">
        <w:rPr>
          <w:rFonts w:ascii="Times New Roman" w:eastAsia="Calibri" w:hAnsi="Times New Roman" w:cs="Times New Roman"/>
          <w:b/>
          <w:sz w:val="28"/>
          <w:szCs w:val="28"/>
          <w:lang w:val="uk-UA"/>
        </w:rPr>
        <w:t xml:space="preserve"> </w:t>
      </w:r>
      <w:r w:rsidRPr="00BA532A">
        <w:rPr>
          <w:rFonts w:ascii="Times New Roman" w:eastAsia="Calibri" w:hAnsi="Times New Roman" w:cs="Times New Roman"/>
          <w:sz w:val="28"/>
          <w:szCs w:val="28"/>
          <w:lang w:val="uk-UA"/>
        </w:rPr>
        <w:t xml:space="preserve">Предметом модуля є вивчення основи конструкції та будови зразків артилерійського озброєння, стрілецької зброї, засобів ближнього бою та боєприпасів. Наукова основа модуля – теорія і практика експлуатації артилерійського озброєння, стрілецької зброї, засобів ближнього бою та боєприпасів. Методологічну основу викладання модуля складають концепція військової освіти України, військова психологія і педагогіка та методика вивчення будови стрілецької зброї та підготовки </w:t>
      </w:r>
      <w:proofErr w:type="spellStart"/>
      <w:r w:rsidRPr="00BA532A">
        <w:rPr>
          <w:rFonts w:ascii="Times New Roman" w:eastAsia="Calibri" w:hAnsi="Times New Roman" w:cs="Times New Roman"/>
          <w:sz w:val="28"/>
          <w:szCs w:val="28"/>
          <w:lang w:val="uk-UA"/>
        </w:rPr>
        <w:t>ії</w:t>
      </w:r>
      <w:proofErr w:type="spellEnd"/>
      <w:r w:rsidRPr="00BA532A">
        <w:rPr>
          <w:rFonts w:ascii="Times New Roman" w:eastAsia="Calibri" w:hAnsi="Times New Roman" w:cs="Times New Roman"/>
          <w:sz w:val="28"/>
          <w:szCs w:val="28"/>
          <w:lang w:val="uk-UA"/>
        </w:rPr>
        <w:t xml:space="preserve"> до бойового використання.</w:t>
      </w:r>
    </w:p>
    <w:p w:rsidR="00784CCC" w:rsidRPr="00BA532A" w:rsidRDefault="00784CCC" w:rsidP="00784CCC">
      <w:pPr>
        <w:spacing w:after="0" w:line="240" w:lineRule="auto"/>
        <w:jc w:val="both"/>
        <w:rPr>
          <w:rFonts w:ascii="Times New Roman" w:eastAsia="Calibri" w:hAnsi="Times New Roman" w:cs="Times New Roman"/>
          <w:sz w:val="28"/>
          <w:szCs w:val="28"/>
          <w:lang w:val="uk-UA"/>
        </w:rPr>
      </w:pPr>
      <w:r w:rsidRPr="00BA532A">
        <w:rPr>
          <w:rFonts w:ascii="Times New Roman" w:eastAsia="Calibri" w:hAnsi="Times New Roman" w:cs="Times New Roman"/>
          <w:bCs/>
          <w:sz w:val="28"/>
          <w:szCs w:val="28"/>
          <w:lang w:val="uk-UA"/>
        </w:rPr>
        <w:tab/>
        <w:t>Вивчення модуля “</w:t>
      </w:r>
      <w:r w:rsidRPr="00BA532A">
        <w:rPr>
          <w:rFonts w:ascii="Times New Roman" w:eastAsia="Calibri" w:hAnsi="Times New Roman" w:cs="Times New Roman"/>
          <w:bCs/>
          <w:iCs/>
          <w:sz w:val="28"/>
          <w:szCs w:val="28"/>
          <w:lang w:val="uk-UA"/>
        </w:rPr>
        <w:t>Військово-технічна підготовка</w:t>
      </w:r>
      <w:r w:rsidRPr="00BA532A">
        <w:rPr>
          <w:rFonts w:ascii="Times New Roman" w:eastAsia="Calibri" w:hAnsi="Times New Roman" w:cs="Times New Roman"/>
          <w:bCs/>
          <w:sz w:val="28"/>
          <w:szCs w:val="28"/>
          <w:lang w:val="uk-UA"/>
        </w:rPr>
        <w:t>” забезпечує громадян, які проходять військову підготовку, знаннями, вміннями</w:t>
      </w:r>
      <w:r w:rsidRPr="00BA532A">
        <w:rPr>
          <w:rFonts w:ascii="Times New Roman" w:eastAsia="Calibri" w:hAnsi="Times New Roman" w:cs="Times New Roman"/>
          <w:sz w:val="28"/>
          <w:szCs w:val="28"/>
          <w:lang w:val="uk-UA"/>
        </w:rPr>
        <w:t>, які необхідні при експлуатації сучасних артилерійського озброєння, стрілецької зброї, засобів ближнього бою та боєприпасів й самостійного освоєння нових зразків озброєння та боєприпасів.</w:t>
      </w:r>
    </w:p>
    <w:p w:rsidR="00784CCC" w:rsidRPr="00BA532A" w:rsidRDefault="00784CCC" w:rsidP="00784CCC">
      <w:pPr>
        <w:spacing w:after="0" w:line="240" w:lineRule="auto"/>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ab/>
        <w:t xml:space="preserve">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та модулів “Вогнева підготовка”, </w:t>
      </w:r>
      <w:r w:rsidRPr="00BA532A">
        <w:rPr>
          <w:rFonts w:ascii="Times New Roman" w:eastAsia="Calibri" w:hAnsi="Times New Roman" w:cs="Times New Roman"/>
          <w:bCs/>
          <w:sz w:val="28"/>
          <w:szCs w:val="28"/>
          <w:lang w:val="uk-UA"/>
        </w:rPr>
        <w:t>“</w:t>
      </w:r>
      <w:r w:rsidRPr="00BA532A">
        <w:rPr>
          <w:rFonts w:ascii="Times New Roman" w:eastAsia="Calibri" w:hAnsi="Times New Roman" w:cs="Times New Roman"/>
          <w:sz w:val="28"/>
          <w:szCs w:val="28"/>
          <w:lang w:val="uk-UA"/>
        </w:rPr>
        <w:t>Військово–спеціальна підготовка</w:t>
      </w:r>
      <w:r w:rsidRPr="00BA532A">
        <w:rPr>
          <w:rFonts w:ascii="Times New Roman" w:eastAsia="Calibri" w:hAnsi="Times New Roman" w:cs="Times New Roman"/>
          <w:bCs/>
          <w:sz w:val="28"/>
          <w:szCs w:val="28"/>
          <w:lang w:val="uk-UA"/>
        </w:rPr>
        <w:t>”</w:t>
      </w:r>
      <w:r w:rsidRPr="00BA532A">
        <w:rPr>
          <w:rFonts w:ascii="Times New Roman" w:eastAsia="Calibri" w:hAnsi="Times New Roman" w:cs="Times New Roman"/>
          <w:sz w:val="28"/>
          <w:szCs w:val="28"/>
          <w:lang w:val="uk-UA"/>
        </w:rPr>
        <w:t>.</w:t>
      </w:r>
    </w:p>
    <w:p w:rsidR="00784CCC" w:rsidRPr="00BA532A" w:rsidRDefault="00784CCC" w:rsidP="00784CCC">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2. Навчальний матеріал з модуля викладати у послідовності, яка відповідає </w:t>
      </w:r>
      <w:r w:rsidRPr="00BA532A">
        <w:rPr>
          <w:rFonts w:ascii="Times New Roman" w:eastAsia="Calibri" w:hAnsi="Times New Roman" w:cs="Times New Roman"/>
          <w:sz w:val="28"/>
          <w:szCs w:val="28"/>
          <w:lang w:val="en-US"/>
        </w:rPr>
        <w:t>IV</w:t>
      </w:r>
      <w:r w:rsidRPr="00BA532A">
        <w:rPr>
          <w:rFonts w:ascii="Times New Roman" w:eastAsia="Calibri" w:hAnsi="Times New Roman" w:cs="Times New Roman"/>
          <w:sz w:val="28"/>
          <w:szCs w:val="28"/>
        </w:rPr>
        <w:t xml:space="preserve"> </w:t>
      </w:r>
      <w:r w:rsidRPr="00BA532A">
        <w:rPr>
          <w:rFonts w:ascii="Times New Roman" w:eastAsia="Calibri" w:hAnsi="Times New Roman" w:cs="Times New Roman"/>
          <w:sz w:val="28"/>
          <w:szCs w:val="28"/>
          <w:lang w:val="uk-UA"/>
        </w:rPr>
        <w:t>розділу даної програми.</w:t>
      </w:r>
    </w:p>
    <w:p w:rsidR="00784CCC" w:rsidRPr="00BA532A" w:rsidRDefault="00784CCC" w:rsidP="00784CCC">
      <w:pPr>
        <w:widowControl w:val="0"/>
        <w:tabs>
          <w:tab w:val="left" w:pos="-1701"/>
        </w:tabs>
        <w:spacing w:after="0" w:line="240" w:lineRule="auto"/>
        <w:ind w:left="709" w:firstLine="11"/>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Модуль вивчати у такій послідовності:</w:t>
      </w:r>
    </w:p>
    <w:p w:rsidR="00784CCC" w:rsidRPr="00BA532A" w:rsidRDefault="00784CCC" w:rsidP="00784CCC">
      <w:pPr>
        <w:widowControl w:val="0"/>
        <w:tabs>
          <w:tab w:val="left" w:pos="-1701"/>
        </w:tabs>
        <w:spacing w:after="0" w:line="240" w:lineRule="auto"/>
        <w:ind w:left="709" w:firstLine="11"/>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Будова артилерійського озброєння, стрілецької зброї та засобів ближнього бою, приладів;</w:t>
      </w:r>
    </w:p>
    <w:p w:rsidR="00784CCC" w:rsidRPr="00BA532A" w:rsidRDefault="00784CCC" w:rsidP="00784CCC">
      <w:pPr>
        <w:widowControl w:val="0"/>
        <w:tabs>
          <w:tab w:val="left" w:pos="-1701"/>
        </w:tabs>
        <w:spacing w:after="0" w:line="240" w:lineRule="auto"/>
        <w:ind w:left="709" w:firstLine="11"/>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Вибухові речовини та боєприпаси;</w:t>
      </w:r>
    </w:p>
    <w:p w:rsidR="00784CCC" w:rsidRPr="00BA532A" w:rsidRDefault="00784CCC" w:rsidP="00784CCC">
      <w:pPr>
        <w:widowControl w:val="0"/>
        <w:tabs>
          <w:tab w:val="left" w:pos="-1701"/>
        </w:tabs>
        <w:spacing w:after="0" w:line="240" w:lineRule="auto"/>
        <w:ind w:left="709" w:firstLine="11"/>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Засоби технічного обслуговування (технічного огляду) та ремонту озброєння та боєприпасів.</w:t>
      </w:r>
    </w:p>
    <w:p w:rsidR="00784CCC" w:rsidRPr="00BA532A" w:rsidRDefault="00784CCC" w:rsidP="00784CCC">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lastRenderedPageBreak/>
        <w:t xml:space="preserve">В результаті вивчення розділу 1 “Будова артилерійського озброєння, стрілецької зброї та засобів ближнього бою, приладів” громадяни мають знати призначення, класифікацію, тактико-технічні характеристики, загальну будову артилерійського озброєння, стрілецької зброї та засобів ближнього бою, приладів а також фізичну сутність процесів, які відбуваються у вузлах і механізмах зразків озброєння. Заходи та правила безпеки під час поводження та роботи з озброєнням. </w:t>
      </w:r>
    </w:p>
    <w:p w:rsidR="00784CCC" w:rsidRPr="00BA532A" w:rsidRDefault="00784CCC" w:rsidP="00784CCC">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В результаті вивчення розділу 2 “Вибухові речовини та боєприпаси” ті, хто навчаються, мають знати призначення, класифікацію, типи</w:t>
      </w:r>
      <w:r w:rsidRPr="00BA532A">
        <w:rPr>
          <w:rFonts w:ascii="Times New Roman" w:eastAsia="Times New Roman" w:hAnsi="Times New Roman" w:cs="Times New Roman"/>
          <w:bCs/>
          <w:color w:val="000000"/>
          <w:sz w:val="28"/>
          <w:szCs w:val="28"/>
          <w:lang w:val="uk-UA" w:eastAsia="ru-RU"/>
        </w:rPr>
        <w:t xml:space="preserve"> </w:t>
      </w:r>
      <w:r w:rsidRPr="00BA532A">
        <w:rPr>
          <w:rFonts w:ascii="Times New Roman" w:eastAsia="Calibri" w:hAnsi="Times New Roman" w:cs="Times New Roman"/>
          <w:bCs/>
          <w:sz w:val="28"/>
          <w:szCs w:val="28"/>
          <w:lang w:val="uk-UA"/>
        </w:rPr>
        <w:t xml:space="preserve">вибухових речовини і </w:t>
      </w:r>
      <w:proofErr w:type="spellStart"/>
      <w:r w:rsidRPr="00BA532A">
        <w:rPr>
          <w:rFonts w:ascii="Times New Roman" w:eastAsia="Calibri" w:hAnsi="Times New Roman" w:cs="Times New Roman"/>
          <w:bCs/>
          <w:sz w:val="28"/>
          <w:szCs w:val="28"/>
          <w:lang w:val="uk-UA"/>
        </w:rPr>
        <w:t>порохів</w:t>
      </w:r>
      <w:proofErr w:type="spellEnd"/>
      <w:r w:rsidRPr="00BA532A">
        <w:rPr>
          <w:rFonts w:ascii="Times New Roman" w:eastAsia="Calibri" w:hAnsi="Times New Roman" w:cs="Times New Roman"/>
          <w:bCs/>
          <w:sz w:val="28"/>
          <w:szCs w:val="28"/>
          <w:lang w:val="uk-UA"/>
        </w:rPr>
        <w:t xml:space="preserve">, їх характеристики, властивості та практичне застосування; призначення, класифікацію, типи, </w:t>
      </w:r>
      <w:r w:rsidRPr="00BA532A">
        <w:rPr>
          <w:rFonts w:ascii="Times New Roman" w:eastAsia="Calibri" w:hAnsi="Times New Roman" w:cs="Times New Roman"/>
          <w:sz w:val="28"/>
          <w:szCs w:val="28"/>
          <w:lang w:val="uk-UA"/>
        </w:rPr>
        <w:t xml:space="preserve"> </w:t>
      </w:r>
      <w:r w:rsidRPr="00BA532A">
        <w:rPr>
          <w:rFonts w:ascii="Times New Roman" w:eastAsia="Calibri" w:hAnsi="Times New Roman" w:cs="Times New Roman"/>
          <w:bCs/>
          <w:sz w:val="28"/>
          <w:szCs w:val="28"/>
          <w:lang w:val="uk-UA"/>
        </w:rPr>
        <w:t>будову, дію боєприпасів, їх елементів а також фізичну сутність процесів, які відбуваються при застосуванні боєприпасів. Заходи та правила безпеки під час поводження та роботи з вибуховими речовинами та боєприпасами.</w:t>
      </w:r>
    </w:p>
    <w:p w:rsidR="00784CCC" w:rsidRPr="00BA532A" w:rsidRDefault="00784CCC" w:rsidP="00784CCC">
      <w:pPr>
        <w:widowControl w:val="0"/>
        <w:tabs>
          <w:tab w:val="left" w:pos="900"/>
        </w:tabs>
        <w:spacing w:after="0" w:line="240" w:lineRule="auto"/>
        <w:ind w:firstLine="720"/>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В результаті вивчення розділу 3 “</w:t>
      </w:r>
      <w:r w:rsidRPr="00BA532A">
        <w:rPr>
          <w:rFonts w:ascii="Times New Roman" w:eastAsia="Calibri" w:hAnsi="Times New Roman" w:cs="Times New Roman"/>
          <w:bCs/>
          <w:sz w:val="28"/>
          <w:szCs w:val="28"/>
          <w:lang w:val="uk-UA"/>
        </w:rPr>
        <w:t xml:space="preserve">Гранатомети та протитанкові ракетні комплекси” </w:t>
      </w:r>
      <w:r w:rsidRPr="00BA532A">
        <w:rPr>
          <w:rFonts w:ascii="Times New Roman" w:eastAsia="Calibri" w:hAnsi="Times New Roman" w:cs="Times New Roman"/>
          <w:sz w:val="28"/>
          <w:szCs w:val="28"/>
          <w:lang w:val="uk-UA"/>
        </w:rPr>
        <w:t>громадяни мають знати призначення, загальний склад та характеристики, основне технологічне обладнання та можливості засоби технічного обслуговування (технічного огляду) та ремонту озброєння та боєприпасів.</w:t>
      </w:r>
    </w:p>
    <w:p w:rsidR="00784CCC" w:rsidRPr="00BA532A" w:rsidRDefault="00784CCC" w:rsidP="00784CCC">
      <w:pPr>
        <w:spacing w:after="0" w:line="240" w:lineRule="auto"/>
        <w:ind w:firstLine="709"/>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При організації занять передбачити максимальне використання зразків навчального озброєння та боєприпасів, тренувальних засобів, навчального обладнання,  пристроїв,  при цьому приділяти особливу увагу якості навчання, суворому дотриманню встановленої технології та виконанню заходів безпеки при поводженні та роботі з озброєнням та боєприпасами.</w:t>
      </w:r>
    </w:p>
    <w:p w:rsidR="00784CCC" w:rsidRPr="00BA532A" w:rsidRDefault="00784CCC" w:rsidP="00784CCC">
      <w:pPr>
        <w:spacing w:after="0" w:line="240" w:lineRule="auto"/>
        <w:ind w:firstLine="709"/>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3. Основними видами навчальних занять вважати: групові, практичні заняття та консультації. </w:t>
      </w:r>
    </w:p>
    <w:p w:rsidR="00784CCC" w:rsidRPr="00BA532A" w:rsidRDefault="00784CCC" w:rsidP="00784CCC">
      <w:pPr>
        <w:spacing w:after="0" w:line="240" w:lineRule="auto"/>
        <w:ind w:firstLine="709"/>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Групові заняття проводити з метою вивчення бойових властивостей, загальної будови, дій частин та механізмів озброєння, а також змісту робіт щодо його огляду та підготовки до бойового використання. Основним методом групового заняття є усне викладання матеріалу в поєднанні з методом демонстрації (показу) нового навчального матеріалу. При цьому науково-педагогічний працівник зобов’язаний шляхом опитування  здійснювати контроль засвоєння тих, хто навчається, цього матеріалу. </w:t>
      </w:r>
    </w:p>
    <w:p w:rsidR="00784CCC" w:rsidRPr="00BA532A" w:rsidRDefault="00784CCC" w:rsidP="00784CCC">
      <w:pPr>
        <w:spacing w:after="0" w:line="240" w:lineRule="auto"/>
        <w:ind w:firstLine="709"/>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Групові заняття проводити у спеціалізованих класах, які обладнанні стендами, плакатами, діючими макетами роботи частин і механізмів озброєння та технічними засобами навчання. На першому груповому заняті ознайомити тих, хто навчається, з порядком вивчення змісту модуля, його місце у системі військової підготовки офіцерів запасу, основними зразками стрілецького озброєння та вимогами до них. Реалізацію принципу наочності навчання досягати широким використанням новітніх технологій навчання та застосування мультимедійної техніки. З метою ефективного використання навчального часу та застосування нового навчального матеріалу громадян забезпечити роздавальним матеріалом. </w:t>
      </w:r>
    </w:p>
    <w:p w:rsidR="00784CCC" w:rsidRPr="00BA532A" w:rsidRDefault="00784CCC" w:rsidP="00784CCC">
      <w:pPr>
        <w:spacing w:after="0" w:line="240" w:lineRule="auto"/>
        <w:ind w:firstLine="709"/>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Групові заняття повинні забезпечити підготовку до якісного проведення практичних занять, на яких на підставі надбаних знань у </w:t>
      </w:r>
      <w:r w:rsidRPr="00BA532A">
        <w:rPr>
          <w:rFonts w:ascii="Times New Roman" w:eastAsia="Calibri" w:hAnsi="Times New Roman" w:cs="Times New Roman"/>
          <w:sz w:val="28"/>
          <w:szCs w:val="28"/>
          <w:lang w:val="uk-UA"/>
        </w:rPr>
        <w:lastRenderedPageBreak/>
        <w:t>громадян з’являються первинні навички у поводженні з озброєнням та осмислення огляду, порядку підготовки його до бойового застосування.</w:t>
      </w:r>
    </w:p>
    <w:p w:rsidR="00784CCC" w:rsidRPr="00BA532A" w:rsidRDefault="00784CCC" w:rsidP="00784CCC">
      <w:pPr>
        <w:spacing w:after="0" w:line="240" w:lineRule="auto"/>
        <w:ind w:firstLine="709"/>
        <w:jc w:val="both"/>
        <w:rPr>
          <w:rFonts w:ascii="Times New Roman" w:eastAsia="Calibri" w:hAnsi="Times New Roman" w:cs="Times New Roman"/>
          <w:spacing w:val="-4"/>
          <w:sz w:val="28"/>
          <w:szCs w:val="28"/>
          <w:lang w:val="uk-UA"/>
        </w:rPr>
      </w:pPr>
      <w:r w:rsidRPr="00BA532A">
        <w:rPr>
          <w:rFonts w:ascii="Times New Roman" w:eastAsia="Calibri" w:hAnsi="Times New Roman" w:cs="Times New Roman"/>
          <w:spacing w:val="-4"/>
          <w:sz w:val="28"/>
          <w:szCs w:val="28"/>
          <w:lang w:val="uk-UA"/>
        </w:rPr>
        <w:t>Консультації проводити з метою надання допомоги тим, хто навчається, самостійному вивченню навчального матеріалу. Вони можуть проводитися індивідуально або з навчальною групою.</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 xml:space="preserve">4. Самостійну роботу тих, хто навчається здійснювати з метою вдосконалення  знань будови озброєння, боєприпасів і навичок у поводження з ними. Особливу увагу звернути на якісне вивчення під час самостійної роботи питанню затримок при стрільбі та способів їх усунення для озброєння, яке вже вивчалося.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Самостійну роботу забезпечити інформаційно-методичними засобами (підручниками, навчальними посібниками, комплектами індивідуальних семестрових завдань, методичними рекомендації з організації самостійної роботи та виконанню окремих завдань, які мають мати також і електронні версії), необхідною літературою, керівництвами, технологічними картками і навчальним матеріалом у друкованому та електронному вигляді і матеріально-технічними засобами.  Методичні матеріали для самостійної роботи громадян мають передбачати можливість проведення самоконтролю. Відповідальність за якість самостійної роботи безпосередньо несе той, хто навчається.</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5.  Поточний контроль проводити на усіх видах занять. Основна мета поточного контролю – забезпечення зворотного зв’язку між науково-педагогічними працівниками та громадянами у процесі навчання, перевірки готовності тих, хто навчається, до наступних групових занять та виконання практичних завдань на практичних. Поточний контроль проводити у формі усного опитування, тестування або письмового експрес-контролю (летючки) під час проведення навчальних занять.</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У ході групових занять контроль здійснювати: у вступній частині з матеріалу, що вивчався на попередніх заняттях;  в основній частині та заключній з матеріалу, що викладається.</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 xml:space="preserve">Інформацію, яка отримана у результаті поточного контролю, використовувати для коригування методів і способів навчання,  удосконалення та активізації навчального процесу.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Модульні контролі проводити  у формі контрольних робіт:</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z w:val="28"/>
          <w:szCs w:val="28"/>
          <w:lang w:val="uk-UA" w:eastAsia="ru-RU"/>
        </w:rPr>
      </w:pPr>
      <w:r w:rsidRPr="00BA532A">
        <w:rPr>
          <w:rFonts w:ascii="Times New Roman" w:eastAsia="Times New Roman" w:hAnsi="Times New Roman" w:cs="Times New Roman"/>
          <w:snapToGrid w:val="0"/>
          <w:sz w:val="28"/>
          <w:szCs w:val="28"/>
          <w:lang w:val="uk-UA" w:eastAsia="ru-RU"/>
        </w:rPr>
        <w:t>- з  розділу 1 “</w:t>
      </w:r>
      <w:r w:rsidRPr="00BA532A">
        <w:rPr>
          <w:rFonts w:ascii="Times New Roman" w:eastAsia="Times New Roman" w:hAnsi="Times New Roman" w:cs="Times New Roman"/>
          <w:bCs/>
          <w:snapToGrid w:val="0"/>
          <w:color w:val="000000"/>
          <w:sz w:val="28"/>
          <w:szCs w:val="28"/>
          <w:lang w:val="uk-UA" w:eastAsia="ru-RU"/>
        </w:rPr>
        <w:t xml:space="preserve">Будова артилерійського озброєння, стрілецької зброї та засобів ближнього бою, приладів”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z w:val="28"/>
          <w:szCs w:val="28"/>
          <w:lang w:val="uk-UA" w:eastAsia="ru-RU"/>
        </w:rPr>
      </w:pPr>
      <w:r w:rsidRPr="00BA532A">
        <w:rPr>
          <w:rFonts w:ascii="Times New Roman" w:eastAsia="Times New Roman" w:hAnsi="Times New Roman" w:cs="Times New Roman"/>
          <w:bCs/>
          <w:snapToGrid w:val="0"/>
          <w:color w:val="000000"/>
          <w:sz w:val="28"/>
          <w:szCs w:val="28"/>
          <w:lang w:val="uk-UA" w:eastAsia="ru-RU"/>
        </w:rPr>
        <w:t>Тема 2. Основи будови артилерійського озброєння;</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z w:val="28"/>
          <w:szCs w:val="28"/>
          <w:lang w:val="uk-UA" w:eastAsia="ru-RU"/>
        </w:rPr>
      </w:pPr>
      <w:r w:rsidRPr="00BA532A">
        <w:rPr>
          <w:rFonts w:ascii="Times New Roman" w:eastAsia="Times New Roman" w:hAnsi="Times New Roman" w:cs="Times New Roman"/>
          <w:bCs/>
          <w:snapToGrid w:val="0"/>
          <w:color w:val="000000"/>
          <w:sz w:val="28"/>
          <w:szCs w:val="28"/>
          <w:lang w:val="uk-UA" w:eastAsia="ru-RU"/>
        </w:rPr>
        <w:t xml:space="preserve">Тема 3. Будова матеріальної частини артилерійського озброєння;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z w:val="28"/>
          <w:szCs w:val="28"/>
          <w:lang w:val="uk-UA" w:eastAsia="ru-RU"/>
        </w:rPr>
      </w:pPr>
      <w:r w:rsidRPr="00BA532A">
        <w:rPr>
          <w:rFonts w:ascii="Times New Roman" w:eastAsia="Times New Roman" w:hAnsi="Times New Roman" w:cs="Times New Roman"/>
          <w:bCs/>
          <w:snapToGrid w:val="0"/>
          <w:color w:val="000000"/>
          <w:sz w:val="28"/>
          <w:szCs w:val="28"/>
          <w:lang w:val="uk-UA" w:eastAsia="ru-RU"/>
        </w:rPr>
        <w:t xml:space="preserve">Тема 4. Будова матеріальної частини стрілецької зброї та Тема 5. Будова матеріальної частини засобів ближнього бою  - у 1 семестрі;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pacing w:val="-3"/>
          <w:sz w:val="28"/>
          <w:szCs w:val="28"/>
          <w:lang w:val="uk-UA" w:eastAsia="ru-RU"/>
        </w:rPr>
      </w:pPr>
      <w:r w:rsidRPr="00BA532A">
        <w:rPr>
          <w:rFonts w:ascii="Times New Roman" w:eastAsia="Times New Roman" w:hAnsi="Times New Roman" w:cs="Times New Roman"/>
          <w:bCs/>
          <w:snapToGrid w:val="0"/>
          <w:color w:val="000000"/>
          <w:sz w:val="28"/>
          <w:szCs w:val="28"/>
          <w:lang w:val="uk-UA" w:eastAsia="ru-RU"/>
        </w:rPr>
        <w:t>- з розділу 2 “Вибухові речовини та боєприпаси</w:t>
      </w:r>
      <w:r w:rsidRPr="00BA532A">
        <w:rPr>
          <w:rFonts w:ascii="Times New Roman" w:eastAsia="Times New Roman" w:hAnsi="Times New Roman" w:cs="Times New Roman"/>
          <w:bCs/>
          <w:snapToGrid w:val="0"/>
          <w:color w:val="000000"/>
          <w:spacing w:val="-3"/>
          <w:sz w:val="28"/>
          <w:szCs w:val="28"/>
          <w:lang w:val="uk-UA" w:eastAsia="ru-RU"/>
        </w:rPr>
        <w:t xml:space="preserve">”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pacing w:val="-3"/>
          <w:sz w:val="28"/>
          <w:szCs w:val="28"/>
          <w:lang w:val="uk-UA" w:eastAsia="ru-RU"/>
        </w:rPr>
      </w:pPr>
      <w:r w:rsidRPr="00BA532A">
        <w:rPr>
          <w:rFonts w:ascii="Times New Roman" w:eastAsia="Times New Roman" w:hAnsi="Times New Roman" w:cs="Times New Roman"/>
          <w:bCs/>
          <w:snapToGrid w:val="0"/>
          <w:color w:val="000000"/>
          <w:spacing w:val="-3"/>
          <w:sz w:val="28"/>
          <w:szCs w:val="28"/>
          <w:lang w:val="uk-UA" w:eastAsia="ru-RU"/>
        </w:rPr>
        <w:t>Тема 7. Вибухові речовини</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pacing w:val="-3"/>
          <w:sz w:val="28"/>
          <w:szCs w:val="28"/>
          <w:lang w:val="uk-UA" w:eastAsia="ru-RU"/>
        </w:rPr>
      </w:pPr>
      <w:r w:rsidRPr="00BA532A">
        <w:rPr>
          <w:rFonts w:ascii="Times New Roman" w:eastAsia="Times New Roman" w:hAnsi="Times New Roman" w:cs="Times New Roman"/>
          <w:bCs/>
          <w:snapToGrid w:val="0"/>
          <w:color w:val="000000"/>
          <w:spacing w:val="-3"/>
          <w:sz w:val="28"/>
          <w:szCs w:val="28"/>
          <w:lang w:val="uk-UA" w:eastAsia="ru-RU"/>
        </w:rPr>
        <w:t>Тема 8. Загальні відомості про артилерійські постріли та</w:t>
      </w:r>
      <w:r w:rsidRPr="00BA532A">
        <w:rPr>
          <w:rFonts w:ascii="Times New Roman" w:eastAsia="Times New Roman" w:hAnsi="Times New Roman" w:cs="Times New Roman"/>
          <w:b/>
          <w:sz w:val="28"/>
          <w:szCs w:val="28"/>
          <w:lang w:val="uk-UA" w:eastAsia="ru-RU"/>
        </w:rPr>
        <w:t xml:space="preserve"> </w:t>
      </w:r>
      <w:r w:rsidRPr="00BA532A">
        <w:rPr>
          <w:rFonts w:ascii="Times New Roman" w:eastAsia="Times New Roman" w:hAnsi="Times New Roman" w:cs="Times New Roman"/>
          <w:bCs/>
          <w:snapToGrid w:val="0"/>
          <w:color w:val="000000"/>
          <w:spacing w:val="-3"/>
          <w:sz w:val="28"/>
          <w:szCs w:val="28"/>
          <w:lang w:val="uk-UA" w:eastAsia="ru-RU"/>
        </w:rPr>
        <w:t xml:space="preserve">Тема 9. Артилерійські снаряди,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pacing w:val="-3"/>
          <w:sz w:val="28"/>
          <w:szCs w:val="28"/>
          <w:lang w:val="uk-UA" w:eastAsia="ru-RU"/>
        </w:rPr>
      </w:pPr>
      <w:r w:rsidRPr="00BA532A">
        <w:rPr>
          <w:rFonts w:ascii="Times New Roman" w:eastAsia="Times New Roman" w:hAnsi="Times New Roman" w:cs="Times New Roman"/>
          <w:bCs/>
          <w:snapToGrid w:val="0"/>
          <w:color w:val="000000"/>
          <w:spacing w:val="-3"/>
          <w:sz w:val="28"/>
          <w:szCs w:val="28"/>
          <w:lang w:val="uk-UA" w:eastAsia="ru-RU"/>
        </w:rPr>
        <w:t xml:space="preserve">Тема 10. Мінометні постріли та Тема 11. Некеровані реактивні снаряди, </w:t>
      </w:r>
    </w:p>
    <w:p w:rsidR="00784CCC" w:rsidRPr="00BA532A" w:rsidRDefault="00784CCC" w:rsidP="00784CCC">
      <w:pPr>
        <w:widowControl w:val="0"/>
        <w:spacing w:after="0" w:line="240" w:lineRule="auto"/>
        <w:ind w:left="709"/>
        <w:jc w:val="both"/>
        <w:rPr>
          <w:rFonts w:ascii="Times New Roman" w:eastAsia="Times New Roman" w:hAnsi="Times New Roman" w:cs="Times New Roman"/>
          <w:bCs/>
          <w:snapToGrid w:val="0"/>
          <w:color w:val="000000"/>
          <w:spacing w:val="-3"/>
          <w:sz w:val="28"/>
          <w:szCs w:val="28"/>
          <w:lang w:val="uk-UA" w:eastAsia="ru-RU"/>
        </w:rPr>
      </w:pPr>
      <w:r w:rsidRPr="00BA532A">
        <w:rPr>
          <w:rFonts w:ascii="Times New Roman" w:eastAsia="Times New Roman" w:hAnsi="Times New Roman" w:cs="Times New Roman"/>
          <w:bCs/>
          <w:snapToGrid w:val="0"/>
          <w:color w:val="000000"/>
          <w:spacing w:val="-3"/>
          <w:sz w:val="28"/>
          <w:szCs w:val="28"/>
          <w:lang w:val="uk-UA" w:eastAsia="ru-RU"/>
        </w:rPr>
        <w:lastRenderedPageBreak/>
        <w:t xml:space="preserve">Тема 13. Патрони стрілецької зброї та ручні гранати та Тема 14. </w:t>
      </w:r>
      <w:proofErr w:type="spellStart"/>
      <w:r w:rsidRPr="00BA532A">
        <w:rPr>
          <w:rFonts w:ascii="Times New Roman" w:eastAsia="Times New Roman" w:hAnsi="Times New Roman" w:cs="Times New Roman"/>
          <w:bCs/>
          <w:snapToGrid w:val="0"/>
          <w:color w:val="000000"/>
          <w:spacing w:val="-3"/>
          <w:sz w:val="28"/>
          <w:szCs w:val="28"/>
          <w:lang w:val="uk-UA" w:eastAsia="ru-RU"/>
        </w:rPr>
        <w:t>Гранатометні</w:t>
      </w:r>
      <w:proofErr w:type="spellEnd"/>
      <w:r w:rsidRPr="00BA532A">
        <w:rPr>
          <w:rFonts w:ascii="Times New Roman" w:eastAsia="Times New Roman" w:hAnsi="Times New Roman" w:cs="Times New Roman"/>
          <w:bCs/>
          <w:snapToGrid w:val="0"/>
          <w:color w:val="000000"/>
          <w:spacing w:val="-3"/>
          <w:sz w:val="28"/>
          <w:szCs w:val="28"/>
          <w:lang w:val="uk-UA" w:eastAsia="ru-RU"/>
        </w:rPr>
        <w:t xml:space="preserve"> постріли та реактивні гранати, </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bCs/>
          <w:snapToGrid w:val="0"/>
          <w:color w:val="000000"/>
          <w:sz w:val="28"/>
          <w:szCs w:val="28"/>
          <w:lang w:val="uk-UA" w:eastAsia="ru-RU"/>
        </w:rPr>
      </w:pPr>
      <w:r w:rsidRPr="00BA532A">
        <w:rPr>
          <w:rFonts w:ascii="Times New Roman" w:eastAsia="Times New Roman" w:hAnsi="Times New Roman" w:cs="Times New Roman"/>
          <w:bCs/>
          <w:snapToGrid w:val="0"/>
          <w:color w:val="000000"/>
          <w:spacing w:val="-3"/>
          <w:sz w:val="28"/>
          <w:szCs w:val="28"/>
          <w:lang w:val="uk-UA" w:eastAsia="ru-RU"/>
        </w:rPr>
        <w:t>Тема 15. Підривники та трубки.  - у 2 семестрі.</w:t>
      </w:r>
    </w:p>
    <w:p w:rsidR="00784CCC" w:rsidRPr="00BA532A" w:rsidRDefault="00784CCC" w:rsidP="00784CCC">
      <w:pPr>
        <w:tabs>
          <w:tab w:val="left" w:pos="360"/>
        </w:tabs>
        <w:spacing w:after="0" w:line="240" w:lineRule="auto"/>
        <w:ind w:firstLine="709"/>
        <w:jc w:val="both"/>
        <w:rPr>
          <w:rFonts w:ascii="Times New Roman" w:eastAsia="Calibri" w:hAnsi="Times New Roman" w:cs="Times New Roman"/>
          <w:color w:val="000000"/>
          <w:sz w:val="28"/>
          <w:szCs w:val="28"/>
          <w:lang w:val="uk-UA"/>
        </w:rPr>
      </w:pPr>
      <w:r w:rsidRPr="00BA532A">
        <w:rPr>
          <w:rFonts w:ascii="Times New Roman" w:eastAsia="Calibri" w:hAnsi="Times New Roman" w:cs="Times New Roman"/>
          <w:color w:val="000000"/>
          <w:sz w:val="28"/>
          <w:szCs w:val="28"/>
          <w:lang w:val="uk-UA"/>
        </w:rPr>
        <w:t xml:space="preserve">6.  Підсумковий контроль проводити у формі </w:t>
      </w:r>
      <w:r w:rsidRPr="00BA532A">
        <w:rPr>
          <w:rFonts w:ascii="Times New Roman" w:eastAsia="Calibri" w:hAnsi="Times New Roman" w:cs="Times New Roman"/>
          <w:sz w:val="28"/>
          <w:szCs w:val="28"/>
          <w:lang w:val="uk-UA"/>
        </w:rPr>
        <w:t>екзамену</w:t>
      </w:r>
      <w:r w:rsidRPr="00BA532A">
        <w:rPr>
          <w:rFonts w:ascii="Times New Roman" w:eastAsia="Calibri" w:hAnsi="Times New Roman" w:cs="Times New Roman"/>
          <w:color w:val="000000"/>
          <w:sz w:val="28"/>
          <w:szCs w:val="28"/>
          <w:lang w:val="uk-UA"/>
        </w:rPr>
        <w:t xml:space="preserve"> в 2 семестрі. Форма проведення </w:t>
      </w:r>
      <w:r w:rsidRPr="00BA532A">
        <w:rPr>
          <w:rFonts w:ascii="Times New Roman" w:eastAsia="Calibri" w:hAnsi="Times New Roman" w:cs="Times New Roman"/>
          <w:sz w:val="28"/>
          <w:szCs w:val="28"/>
          <w:lang w:val="uk-UA"/>
        </w:rPr>
        <w:t>екзамену</w:t>
      </w:r>
      <w:r w:rsidRPr="00BA532A">
        <w:rPr>
          <w:rFonts w:ascii="Times New Roman" w:eastAsia="Calibri" w:hAnsi="Times New Roman" w:cs="Times New Roman"/>
          <w:color w:val="000000"/>
          <w:sz w:val="28"/>
          <w:szCs w:val="28"/>
          <w:lang w:val="uk-UA"/>
        </w:rPr>
        <w:t>, зміст і структура контрольних завдань, екзаменаційних білетів та критерії оцінювання тих, хто навчається, визначаються тематичним планом кафедри.</w:t>
      </w:r>
    </w:p>
    <w:p w:rsidR="00784CCC" w:rsidRPr="00BA532A" w:rsidRDefault="00784CCC" w:rsidP="00784CCC">
      <w:pPr>
        <w:tabs>
          <w:tab w:val="left" w:pos="360"/>
        </w:tabs>
        <w:spacing w:after="0" w:line="240" w:lineRule="auto"/>
        <w:ind w:firstLine="709"/>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Екзамен</w:t>
      </w:r>
      <w:r w:rsidRPr="00BA532A">
        <w:rPr>
          <w:rFonts w:ascii="Times New Roman" w:eastAsia="Calibri" w:hAnsi="Times New Roman" w:cs="Times New Roman"/>
          <w:color w:val="000000"/>
          <w:sz w:val="28"/>
          <w:szCs w:val="28"/>
          <w:lang w:val="uk-UA"/>
        </w:rPr>
        <w:t xml:space="preserve"> проводити в класах матеріальної частини та експлуатації озброєння. </w:t>
      </w:r>
      <w:r w:rsidRPr="00BA532A">
        <w:rPr>
          <w:rFonts w:ascii="Times New Roman" w:eastAsia="Calibri" w:hAnsi="Times New Roman" w:cs="Times New Roman"/>
          <w:sz w:val="28"/>
          <w:szCs w:val="28"/>
          <w:lang w:val="uk-UA"/>
        </w:rPr>
        <w:t>Перед екзамен</w:t>
      </w:r>
      <w:r w:rsidRPr="00BA532A">
        <w:rPr>
          <w:rFonts w:ascii="Times New Roman" w:eastAsia="Calibri" w:hAnsi="Times New Roman" w:cs="Times New Roman"/>
          <w:color w:val="000000"/>
          <w:sz w:val="28"/>
          <w:szCs w:val="28"/>
          <w:lang w:val="uk-UA"/>
        </w:rPr>
        <w:t>ом</w:t>
      </w:r>
      <w:r w:rsidRPr="00BA532A">
        <w:rPr>
          <w:rFonts w:ascii="Times New Roman" w:eastAsia="Calibri" w:hAnsi="Times New Roman" w:cs="Times New Roman"/>
          <w:sz w:val="28"/>
          <w:szCs w:val="28"/>
          <w:lang w:val="uk-UA"/>
        </w:rPr>
        <w:t xml:space="preserve"> з навчальною групою обов’язково проводити консультацію. </w:t>
      </w:r>
    </w:p>
    <w:p w:rsidR="00784CCC" w:rsidRPr="00BA532A" w:rsidRDefault="00784CCC" w:rsidP="00784CCC">
      <w:pPr>
        <w:tabs>
          <w:tab w:val="left" w:pos="360"/>
        </w:tabs>
        <w:spacing w:after="0" w:line="240" w:lineRule="auto"/>
        <w:ind w:firstLine="720"/>
        <w:jc w:val="both"/>
        <w:rPr>
          <w:rFonts w:ascii="Times New Roman" w:eastAsia="Calibri" w:hAnsi="Times New Roman" w:cs="Times New Roman"/>
          <w:sz w:val="28"/>
          <w:szCs w:val="28"/>
          <w:lang w:val="uk-UA"/>
        </w:rPr>
      </w:pPr>
      <w:r w:rsidRPr="00BA532A">
        <w:rPr>
          <w:rFonts w:ascii="Times New Roman" w:eastAsia="Calibri" w:hAnsi="Times New Roman" w:cs="Times New Roman"/>
          <w:sz w:val="28"/>
          <w:szCs w:val="28"/>
          <w:lang w:val="uk-UA"/>
        </w:rPr>
        <w:t xml:space="preserve">Зміст екзаменаційних білетів має забезпечити перевірку тих, хто навчається,  теоретичних знань з призначення, класифікації, будови озброєння,  вибухових речовин та боєприпасів усього програмного матеріалу і повинен містити три питання: перше – з будови </w:t>
      </w:r>
      <w:r w:rsidRPr="00BA532A">
        <w:rPr>
          <w:rFonts w:ascii="Times New Roman" w:eastAsia="Calibri" w:hAnsi="Times New Roman" w:cs="Times New Roman"/>
          <w:bCs/>
          <w:sz w:val="28"/>
          <w:szCs w:val="28"/>
          <w:lang w:val="uk-UA"/>
        </w:rPr>
        <w:t>артилерійського озброєння, стрілецької зброї та засобів ближнього бою, приладів</w:t>
      </w:r>
      <w:r w:rsidRPr="00BA532A">
        <w:rPr>
          <w:rFonts w:ascii="Times New Roman" w:eastAsia="Calibri" w:hAnsi="Times New Roman" w:cs="Times New Roman"/>
          <w:sz w:val="28"/>
          <w:szCs w:val="28"/>
          <w:lang w:val="uk-UA"/>
        </w:rPr>
        <w:t>; друге – з призначення, класифікації, типів</w:t>
      </w:r>
      <w:r w:rsidRPr="00BA532A">
        <w:rPr>
          <w:rFonts w:ascii="Times New Roman" w:eastAsia="Calibri" w:hAnsi="Times New Roman" w:cs="Times New Roman"/>
          <w:bCs/>
          <w:sz w:val="28"/>
          <w:szCs w:val="28"/>
          <w:lang w:val="uk-UA"/>
        </w:rPr>
        <w:t xml:space="preserve"> вибухових речовини і </w:t>
      </w:r>
      <w:proofErr w:type="spellStart"/>
      <w:r w:rsidRPr="00BA532A">
        <w:rPr>
          <w:rFonts w:ascii="Times New Roman" w:eastAsia="Calibri" w:hAnsi="Times New Roman" w:cs="Times New Roman"/>
          <w:bCs/>
          <w:sz w:val="28"/>
          <w:szCs w:val="28"/>
          <w:lang w:val="uk-UA"/>
        </w:rPr>
        <w:t>порохів</w:t>
      </w:r>
      <w:proofErr w:type="spellEnd"/>
      <w:r w:rsidRPr="00BA532A">
        <w:rPr>
          <w:rFonts w:ascii="Times New Roman" w:eastAsia="Calibri" w:hAnsi="Times New Roman" w:cs="Times New Roman"/>
          <w:bCs/>
          <w:sz w:val="28"/>
          <w:szCs w:val="28"/>
          <w:lang w:val="uk-UA"/>
        </w:rPr>
        <w:t>, їх характеристики, властивості та практичне застосування;</w:t>
      </w:r>
      <w:r w:rsidRPr="00BA532A">
        <w:rPr>
          <w:rFonts w:ascii="Times New Roman" w:eastAsia="Calibri" w:hAnsi="Times New Roman" w:cs="Times New Roman"/>
          <w:sz w:val="28"/>
          <w:szCs w:val="28"/>
          <w:lang w:val="uk-UA"/>
        </w:rPr>
        <w:t xml:space="preserve"> трете – з  </w:t>
      </w:r>
      <w:r w:rsidRPr="00BA532A">
        <w:rPr>
          <w:rFonts w:ascii="Times New Roman" w:eastAsia="Calibri" w:hAnsi="Times New Roman" w:cs="Times New Roman"/>
          <w:bCs/>
          <w:sz w:val="28"/>
          <w:szCs w:val="28"/>
          <w:lang w:val="uk-UA"/>
        </w:rPr>
        <w:t xml:space="preserve">призначення, </w:t>
      </w:r>
      <w:proofErr w:type="spellStart"/>
      <w:r w:rsidRPr="00BA532A">
        <w:rPr>
          <w:rFonts w:ascii="Times New Roman" w:eastAsia="Calibri" w:hAnsi="Times New Roman" w:cs="Times New Roman"/>
          <w:bCs/>
          <w:sz w:val="28"/>
          <w:szCs w:val="28"/>
          <w:lang w:val="uk-UA"/>
        </w:rPr>
        <w:t>класифікаціі</w:t>
      </w:r>
      <w:proofErr w:type="spellEnd"/>
      <w:r w:rsidRPr="00BA532A">
        <w:rPr>
          <w:rFonts w:ascii="Times New Roman" w:eastAsia="Calibri" w:hAnsi="Times New Roman" w:cs="Times New Roman"/>
          <w:bCs/>
          <w:sz w:val="28"/>
          <w:szCs w:val="28"/>
          <w:lang w:val="uk-UA"/>
        </w:rPr>
        <w:t xml:space="preserve">, типів, </w:t>
      </w:r>
      <w:r w:rsidRPr="00BA532A">
        <w:rPr>
          <w:rFonts w:ascii="Times New Roman" w:eastAsia="Calibri" w:hAnsi="Times New Roman" w:cs="Times New Roman"/>
          <w:sz w:val="28"/>
          <w:szCs w:val="28"/>
          <w:lang w:val="uk-UA"/>
        </w:rPr>
        <w:t xml:space="preserve"> </w:t>
      </w:r>
      <w:r w:rsidRPr="00BA532A">
        <w:rPr>
          <w:rFonts w:ascii="Times New Roman" w:eastAsia="Calibri" w:hAnsi="Times New Roman" w:cs="Times New Roman"/>
          <w:bCs/>
          <w:sz w:val="28"/>
          <w:szCs w:val="28"/>
          <w:lang w:val="uk-UA"/>
        </w:rPr>
        <w:t>будови, дії боєприпасів, їх елементів а також фізичну сутність процесів, які відбуваються при застосуванні боєприпасів</w:t>
      </w:r>
      <w:r w:rsidRPr="00BA532A">
        <w:rPr>
          <w:rFonts w:ascii="Times New Roman" w:eastAsia="Calibri" w:hAnsi="Times New Roman" w:cs="Times New Roman"/>
          <w:sz w:val="28"/>
          <w:szCs w:val="28"/>
          <w:lang w:val="uk-UA"/>
        </w:rPr>
        <w:t>.</w:t>
      </w:r>
    </w:p>
    <w:p w:rsidR="00784CCC" w:rsidRPr="00BA532A" w:rsidRDefault="00784CCC" w:rsidP="00784CCC">
      <w:pPr>
        <w:widowControl w:val="0"/>
        <w:spacing w:after="0" w:line="240" w:lineRule="auto"/>
        <w:ind w:firstLine="709"/>
        <w:jc w:val="both"/>
        <w:rPr>
          <w:rFonts w:ascii="Times New Roman" w:eastAsia="Times New Roman" w:hAnsi="Times New Roman" w:cs="Times New Roman"/>
          <w:snapToGrid w:val="0"/>
          <w:sz w:val="28"/>
          <w:szCs w:val="28"/>
          <w:lang w:val="uk-UA" w:eastAsia="ru-RU"/>
        </w:rPr>
      </w:pPr>
      <w:r w:rsidRPr="00BA532A">
        <w:rPr>
          <w:rFonts w:ascii="Times New Roman" w:eastAsia="Times New Roman" w:hAnsi="Times New Roman" w:cs="Times New Roman"/>
          <w:snapToGrid w:val="0"/>
          <w:sz w:val="28"/>
          <w:szCs w:val="28"/>
          <w:lang w:val="uk-UA" w:eastAsia="ru-RU"/>
        </w:rPr>
        <w:t>Результати складання диференційованого заліку оголошувати громадянам безпосередньо після їх відповіді та заносити  у відомість обліку успішності.</w:t>
      </w:r>
    </w:p>
    <w:bookmarkEnd w:id="0"/>
    <w:p w:rsidR="00BA385F" w:rsidRPr="00BA532A" w:rsidRDefault="00BA385F">
      <w:pPr>
        <w:rPr>
          <w:rFonts w:ascii="Times New Roman" w:hAnsi="Times New Roman" w:cs="Times New Roman"/>
          <w:sz w:val="28"/>
          <w:szCs w:val="28"/>
          <w:lang w:val="uk-UA"/>
        </w:rPr>
      </w:pPr>
    </w:p>
    <w:sectPr w:rsidR="00BA385F" w:rsidRPr="00BA5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41"/>
    <w:rsid w:val="00784CCC"/>
    <w:rsid w:val="00BA385F"/>
    <w:rsid w:val="00BA532A"/>
    <w:rsid w:val="00CC7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1652</Words>
  <Characters>9417</Characters>
  <Application>Microsoft Office Word</Application>
  <DocSecurity>0</DocSecurity>
  <Lines>78</Lines>
  <Paragraphs>22</Paragraphs>
  <ScaleCrop>false</ScaleCrop>
  <Company>test</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2017-05-03T11:07:00Z</dcterms:created>
  <dcterms:modified xsi:type="dcterms:W3CDTF">2017-07-14T07:24:00Z</dcterms:modified>
</cp:coreProperties>
</file>